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26B6F" w14:textId="45DB2E8D" w:rsidR="003B1967" w:rsidRPr="00390B8E" w:rsidRDefault="00DD2342" w:rsidP="006C324A">
      <w:pPr>
        <w:pStyle w:val="BodytextRPC"/>
        <w:rPr>
          <w:color w:val="000000" w:themeColor="text1"/>
        </w:rPr>
      </w:pPr>
      <w:r w:rsidRPr="00DD2342">
        <w:rPr>
          <w:noProof/>
          <w:color w:val="000000" w:themeColor="text1"/>
        </w:rPr>
        <w:drawing>
          <wp:anchor distT="0" distB="0" distL="114300" distR="114300" simplePos="0" relativeHeight="251681805" behindDoc="0" locked="0" layoutInCell="1" allowOverlap="1" wp14:anchorId="0495A7ED" wp14:editId="3645B5FA">
            <wp:simplePos x="0" y="0"/>
            <wp:positionH relativeFrom="column">
              <wp:posOffset>3478660</wp:posOffset>
            </wp:positionH>
            <wp:positionV relativeFrom="paragraph">
              <wp:posOffset>8071</wp:posOffset>
            </wp:positionV>
            <wp:extent cx="1802103" cy="720841"/>
            <wp:effectExtent l="0" t="0" r="1905" b="3175"/>
            <wp:wrapNone/>
            <wp:docPr id="3" name="Picture 5" descr="A picture containing logo&#10;&#10;Description automatically generated">
              <a:extLst xmlns:a="http://schemas.openxmlformats.org/drawingml/2006/main">
                <a:ext uri="{FF2B5EF4-FFF2-40B4-BE49-F238E27FC236}">
                  <a16:creationId xmlns:a16="http://schemas.microsoft.com/office/drawing/2014/main" id="{B2E04DAD-22D5-E54C-B352-C120DCA394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A picture containing logo&#10;&#10;Description automatically generated">
                      <a:extLst>
                        <a:ext uri="{FF2B5EF4-FFF2-40B4-BE49-F238E27FC236}">
                          <a16:creationId xmlns:a16="http://schemas.microsoft.com/office/drawing/2014/main" id="{B2E04DAD-22D5-E54C-B352-C120DCA394E3}"/>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802103" cy="720841"/>
                    </a:xfrm>
                    <a:prstGeom prst="rect">
                      <a:avLst/>
                    </a:prstGeom>
                  </pic:spPr>
                </pic:pic>
              </a:graphicData>
            </a:graphic>
            <wp14:sizeRelH relativeFrom="page">
              <wp14:pctWidth>0</wp14:pctWidth>
            </wp14:sizeRelH>
            <wp14:sizeRelV relativeFrom="page">
              <wp14:pctHeight>0</wp14:pctHeight>
            </wp14:sizeRelV>
          </wp:anchor>
        </w:drawing>
      </w:r>
      <w:r w:rsidR="00FB65A6" w:rsidRPr="00390B8E">
        <w:rPr>
          <w:rFonts w:asciiTheme="minorHAnsi" w:hAnsiTheme="minorHAnsi" w:cstheme="minorHAnsi"/>
          <w:noProof/>
          <w:color w:val="000000" w:themeColor="text1"/>
        </w:rPr>
        <w:drawing>
          <wp:anchor distT="0" distB="0" distL="114300" distR="114300" simplePos="0" relativeHeight="251658242" behindDoc="1" locked="0" layoutInCell="1" allowOverlap="1" wp14:anchorId="1285E60D" wp14:editId="00BCF50C">
            <wp:simplePos x="0" y="0"/>
            <wp:positionH relativeFrom="margin">
              <wp:align>left</wp:align>
            </wp:positionH>
            <wp:positionV relativeFrom="page">
              <wp:posOffset>1049482</wp:posOffset>
            </wp:positionV>
            <wp:extent cx="1267691" cy="837281"/>
            <wp:effectExtent l="0" t="0" r="8890" b="1270"/>
            <wp:wrapNone/>
            <wp:docPr id="6" name="Picture 6"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7691" cy="837281"/>
                    </a:xfrm>
                    <a:prstGeom prst="rect">
                      <a:avLst/>
                    </a:prstGeom>
                  </pic:spPr>
                </pic:pic>
              </a:graphicData>
            </a:graphic>
            <wp14:sizeRelH relativeFrom="margin">
              <wp14:pctWidth>0</wp14:pctWidth>
            </wp14:sizeRelH>
            <wp14:sizeRelV relativeFrom="margin">
              <wp14:pctHeight>0</wp14:pctHeight>
            </wp14:sizeRelV>
          </wp:anchor>
        </w:drawing>
      </w:r>
      <w:r w:rsidR="001610B3" w:rsidRPr="00390B8E">
        <w:rPr>
          <w:rFonts w:asciiTheme="minorHAnsi" w:hAnsiTheme="minorHAnsi" w:cstheme="minorHAnsi"/>
          <w:noProof/>
          <w:color w:val="000000" w:themeColor="text1"/>
        </w:rPr>
        <w:drawing>
          <wp:anchor distT="0" distB="0" distL="114300" distR="114300" simplePos="0" relativeHeight="251658240" behindDoc="0" locked="0" layoutInCell="1" allowOverlap="1" wp14:anchorId="5D7BDC29" wp14:editId="472B1FD3">
            <wp:simplePos x="0" y="0"/>
            <wp:positionH relativeFrom="page">
              <wp:align>center</wp:align>
            </wp:positionH>
            <wp:positionV relativeFrom="line">
              <wp:posOffset>280555</wp:posOffset>
            </wp:positionV>
            <wp:extent cx="1584960" cy="264795"/>
            <wp:effectExtent l="0" t="0" r="0" b="1905"/>
            <wp:wrapSquare wrapText="bothSides"/>
            <wp:docPr id="8" name="Picture 7" descr="A picture containing drawing&#10;&#10;Description automatically generated">
              <a:extLst xmlns:a="http://schemas.openxmlformats.org/drawingml/2006/main">
                <a:ext uri="{FF2B5EF4-FFF2-40B4-BE49-F238E27FC236}">
                  <a16:creationId xmlns:a16="http://schemas.microsoft.com/office/drawing/2014/main" id="{8B1F692E-3782-AC40-8C6E-8141A40D01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8B1F692E-3782-AC40-8C6E-8141A40D011F}"/>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84960" cy="264795"/>
                    </a:xfrm>
                    <a:prstGeom prst="rect">
                      <a:avLst/>
                    </a:prstGeom>
                  </pic:spPr>
                </pic:pic>
              </a:graphicData>
            </a:graphic>
            <wp14:sizeRelH relativeFrom="margin">
              <wp14:pctWidth>0</wp14:pctWidth>
            </wp14:sizeRelH>
            <wp14:sizeRelV relativeFrom="margin">
              <wp14:pctHeight>0</wp14:pctHeight>
            </wp14:sizeRelV>
          </wp:anchor>
        </w:drawing>
      </w:r>
      <w:bookmarkStart w:id="0" w:name="_Hlk38540216"/>
      <w:bookmarkEnd w:id="0"/>
    </w:p>
    <w:p w14:paraId="617055C4" w14:textId="09EF63AA" w:rsidR="003B1967" w:rsidRPr="00390B8E" w:rsidRDefault="003B1967" w:rsidP="00807BD5">
      <w:pPr>
        <w:pStyle w:val="BodytextRPC"/>
        <w:rPr>
          <w:color w:val="000000" w:themeColor="text1"/>
        </w:rPr>
      </w:pPr>
    </w:p>
    <w:p w14:paraId="2D97353E" w14:textId="6B0D5266" w:rsidR="000F4655" w:rsidRPr="00390B8E" w:rsidRDefault="000F4655" w:rsidP="00807BD5">
      <w:pPr>
        <w:pStyle w:val="BodytextRPC"/>
        <w:rPr>
          <w:color w:val="000000" w:themeColor="text1"/>
        </w:rPr>
      </w:pPr>
    </w:p>
    <w:p w14:paraId="7618916E" w14:textId="39A4AD48" w:rsidR="00434A4C" w:rsidRPr="00390B8E" w:rsidRDefault="00434A4C" w:rsidP="00434A4C">
      <w:pPr>
        <w:pStyle w:val="BodytextRPC"/>
        <w:rPr>
          <w:color w:val="000000" w:themeColor="text1"/>
        </w:rPr>
      </w:pPr>
    </w:p>
    <w:p w14:paraId="5D60466B" w14:textId="77777777" w:rsidR="00434A4C" w:rsidRPr="00390B8E" w:rsidRDefault="00434A4C" w:rsidP="00434A4C">
      <w:pPr>
        <w:pStyle w:val="BodytextRPC"/>
        <w:rPr>
          <w:color w:val="000000" w:themeColor="text1"/>
        </w:rPr>
      </w:pPr>
    </w:p>
    <w:p w14:paraId="4CA5BC2D" w14:textId="79970768" w:rsidR="006C324A" w:rsidRPr="00390B8E" w:rsidRDefault="006C324A" w:rsidP="00807BD5">
      <w:pPr>
        <w:pStyle w:val="BodytextRPC"/>
        <w:rPr>
          <w:color w:val="000000" w:themeColor="text1"/>
        </w:rPr>
      </w:pPr>
    </w:p>
    <w:p w14:paraId="3204106D" w14:textId="1A1C0E6D" w:rsidR="00C45E1C" w:rsidRPr="00390B8E" w:rsidRDefault="00C45E1C" w:rsidP="00807BD5">
      <w:pPr>
        <w:pStyle w:val="BodytextRPC"/>
        <w:rPr>
          <w:color w:val="000000" w:themeColor="text1"/>
        </w:rPr>
      </w:pPr>
    </w:p>
    <w:p w14:paraId="41622E95" w14:textId="77777777" w:rsidR="00C45E1C" w:rsidRPr="00390B8E" w:rsidRDefault="00C45E1C" w:rsidP="00807BD5">
      <w:pPr>
        <w:pStyle w:val="BodytextRPC"/>
        <w:rPr>
          <w:color w:val="000000" w:themeColor="text1"/>
        </w:rPr>
      </w:pPr>
    </w:p>
    <w:p w14:paraId="6ECE2836" w14:textId="2A143F5F" w:rsidR="009D4A8E" w:rsidRPr="00390B8E" w:rsidRDefault="004620B7" w:rsidP="009D4A8E">
      <w:pPr>
        <w:pStyle w:val="Title"/>
        <w:tabs>
          <w:tab w:val="left" w:pos="4189"/>
        </w:tabs>
        <w:spacing w:before="240"/>
        <w:rPr>
          <w:color w:val="000000" w:themeColor="text1"/>
          <w:spacing w:val="-2"/>
          <w:sz w:val="56"/>
          <w:szCs w:val="56"/>
        </w:rPr>
      </w:pPr>
      <w:r w:rsidRPr="00390B8E">
        <w:rPr>
          <w:color w:val="000000" w:themeColor="text1"/>
          <w:spacing w:val="-2"/>
          <w:sz w:val="56"/>
          <w:szCs w:val="56"/>
        </w:rPr>
        <w:t>202</w:t>
      </w:r>
      <w:r w:rsidR="004A49CE" w:rsidRPr="00390B8E">
        <w:rPr>
          <w:color w:val="000000" w:themeColor="text1"/>
          <w:spacing w:val="-2"/>
          <w:sz w:val="56"/>
          <w:szCs w:val="56"/>
        </w:rPr>
        <w:t>1</w:t>
      </w:r>
      <w:r w:rsidRPr="00390B8E">
        <w:rPr>
          <w:color w:val="000000" w:themeColor="text1"/>
          <w:spacing w:val="-2"/>
          <w:sz w:val="56"/>
          <w:szCs w:val="56"/>
        </w:rPr>
        <w:t>-202</w:t>
      </w:r>
      <w:r w:rsidR="004A49CE" w:rsidRPr="00390B8E">
        <w:rPr>
          <w:color w:val="000000" w:themeColor="text1"/>
          <w:spacing w:val="-2"/>
          <w:sz w:val="56"/>
          <w:szCs w:val="56"/>
        </w:rPr>
        <w:t>6</w:t>
      </w:r>
      <w:r w:rsidRPr="00390B8E">
        <w:rPr>
          <w:color w:val="000000" w:themeColor="text1"/>
          <w:spacing w:val="-2"/>
          <w:sz w:val="56"/>
          <w:szCs w:val="56"/>
        </w:rPr>
        <w:t xml:space="preserve"> Victorian EDPR</w:t>
      </w:r>
      <w:r w:rsidR="00117A7B" w:rsidRPr="00390B8E">
        <w:rPr>
          <w:color w:val="000000" w:themeColor="text1"/>
          <w:spacing w:val="-2"/>
          <w:sz w:val="56"/>
          <w:szCs w:val="56"/>
        </w:rPr>
        <w:tab/>
      </w:r>
    </w:p>
    <w:p w14:paraId="06F2D244" w14:textId="631BB2FE" w:rsidR="009D4A8E" w:rsidRPr="00390B8E" w:rsidRDefault="009D4A8E" w:rsidP="009D4A8E">
      <w:pPr>
        <w:pStyle w:val="Title"/>
        <w:tabs>
          <w:tab w:val="left" w:pos="4189"/>
        </w:tabs>
        <w:spacing w:before="240"/>
        <w:rPr>
          <w:color w:val="000000" w:themeColor="text1"/>
          <w:spacing w:val="-2"/>
          <w:sz w:val="56"/>
          <w:szCs w:val="56"/>
        </w:rPr>
      </w:pPr>
      <w:r w:rsidRPr="00390B8E">
        <w:rPr>
          <w:color w:val="000000" w:themeColor="text1"/>
          <w:sz w:val="32"/>
          <w:szCs w:val="32"/>
        </w:rPr>
        <w:t xml:space="preserve">Joint submission from </w:t>
      </w:r>
      <w:r w:rsidR="00074466" w:rsidRPr="00390B8E">
        <w:rPr>
          <w:color w:val="000000" w:themeColor="text1"/>
          <w:sz w:val="32"/>
          <w:szCs w:val="32"/>
        </w:rPr>
        <w:t xml:space="preserve">Victorian </w:t>
      </w:r>
      <w:r w:rsidR="000655E0" w:rsidRPr="00390B8E">
        <w:rPr>
          <w:color w:val="000000" w:themeColor="text1"/>
          <w:sz w:val="32"/>
          <w:szCs w:val="32"/>
        </w:rPr>
        <w:t>C</w:t>
      </w:r>
      <w:r w:rsidR="00074466" w:rsidRPr="00390B8E">
        <w:rPr>
          <w:color w:val="000000" w:themeColor="text1"/>
          <w:sz w:val="32"/>
          <w:szCs w:val="32"/>
        </w:rPr>
        <w:t xml:space="preserve">ommunity </w:t>
      </w:r>
      <w:r w:rsidR="000655E0" w:rsidRPr="00390B8E">
        <w:rPr>
          <w:color w:val="000000" w:themeColor="text1"/>
          <w:sz w:val="32"/>
          <w:szCs w:val="32"/>
        </w:rPr>
        <w:t>O</w:t>
      </w:r>
      <w:r w:rsidR="00074466" w:rsidRPr="00390B8E">
        <w:rPr>
          <w:color w:val="000000" w:themeColor="text1"/>
          <w:sz w:val="32"/>
          <w:szCs w:val="32"/>
        </w:rPr>
        <w:t>rganisations</w:t>
      </w:r>
      <w:r w:rsidR="00A75A5B" w:rsidRPr="00390B8E">
        <w:rPr>
          <w:color w:val="000000" w:themeColor="text1"/>
          <w:sz w:val="32"/>
          <w:szCs w:val="32"/>
        </w:rPr>
        <w:t xml:space="preserve"> </w:t>
      </w:r>
    </w:p>
    <w:p w14:paraId="776AE9AC" w14:textId="77777777" w:rsidR="00122448" w:rsidRPr="00390B8E" w:rsidRDefault="00122448" w:rsidP="00807BD5">
      <w:pPr>
        <w:pStyle w:val="BodytextRPC"/>
        <w:rPr>
          <w:color w:val="000000" w:themeColor="text1"/>
        </w:rPr>
      </w:pPr>
    </w:p>
    <w:p w14:paraId="59BF4015" w14:textId="77777777" w:rsidR="00122448" w:rsidRPr="00390B8E" w:rsidRDefault="00122448" w:rsidP="00807BD5">
      <w:pPr>
        <w:pStyle w:val="BodytextRPC"/>
        <w:rPr>
          <w:color w:val="000000" w:themeColor="text1"/>
        </w:rPr>
      </w:pPr>
    </w:p>
    <w:p w14:paraId="190A3E46" w14:textId="7A7028AB" w:rsidR="00122448" w:rsidRPr="00390B8E" w:rsidRDefault="00122448" w:rsidP="00807BD5">
      <w:pPr>
        <w:pStyle w:val="BodytextRPC"/>
        <w:rPr>
          <w:color w:val="000000" w:themeColor="text1"/>
        </w:rPr>
      </w:pPr>
    </w:p>
    <w:p w14:paraId="6462D157" w14:textId="77777777" w:rsidR="00223B4A" w:rsidRPr="00390B8E" w:rsidRDefault="00223B4A" w:rsidP="00807BD5">
      <w:pPr>
        <w:pStyle w:val="BodytextRPC"/>
        <w:rPr>
          <w:color w:val="000000" w:themeColor="text1"/>
        </w:rPr>
      </w:pPr>
    </w:p>
    <w:p w14:paraId="3903B256" w14:textId="77777777" w:rsidR="00122448" w:rsidRPr="00390B8E" w:rsidRDefault="00122448" w:rsidP="00807BD5">
      <w:pPr>
        <w:pStyle w:val="BodytextRPC"/>
        <w:rPr>
          <w:color w:val="000000" w:themeColor="text1"/>
        </w:rPr>
      </w:pPr>
    </w:p>
    <w:p w14:paraId="6097AC32" w14:textId="47A1AF34" w:rsidR="00F829C8" w:rsidRPr="00390B8E" w:rsidRDefault="00745936" w:rsidP="00C03320">
      <w:pPr>
        <w:pStyle w:val="Publicationdate"/>
        <w:rPr>
          <w:color w:val="000000" w:themeColor="text1"/>
        </w:rPr>
      </w:pPr>
      <w:r w:rsidRPr="00390B8E">
        <w:rPr>
          <w:color w:val="000000" w:themeColor="text1"/>
          <w:lang w:eastAsia="en-AU"/>
        </w:rPr>
        <w:t>January</w:t>
      </w:r>
      <w:r w:rsidR="0074678D" w:rsidRPr="00390B8E">
        <w:rPr>
          <w:color w:val="000000" w:themeColor="text1"/>
          <w:lang w:eastAsia="en-AU"/>
        </w:rPr>
        <w:t xml:space="preserve"> 202</w:t>
      </w:r>
      <w:r w:rsidRPr="00390B8E">
        <w:rPr>
          <w:color w:val="000000" w:themeColor="text1"/>
          <w:lang w:eastAsia="en-AU"/>
        </w:rPr>
        <w:t>1</w:t>
      </w:r>
      <w:r w:rsidR="003B1967" w:rsidRPr="00390B8E">
        <w:rPr>
          <w:color w:val="000000" w:themeColor="text1"/>
        </w:rPr>
        <w:t xml:space="preserve"> </w:t>
      </w:r>
      <w:r w:rsidR="00807BD5" w:rsidRPr="00390B8E">
        <w:rPr>
          <w:color w:val="000000" w:themeColor="text1"/>
        </w:rPr>
        <w:br w:type="page"/>
      </w:r>
    </w:p>
    <w:p w14:paraId="35B5DEA5" w14:textId="67583B9E" w:rsidR="00E520A9" w:rsidRPr="00390B8E" w:rsidRDefault="00E520A9" w:rsidP="00F829C8">
      <w:pPr>
        <w:pStyle w:val="TOCHeading"/>
        <w:rPr>
          <w:color w:val="000000" w:themeColor="text1"/>
        </w:rPr>
        <w:sectPr w:rsidR="00E520A9" w:rsidRPr="00390B8E" w:rsidSect="00172FB6">
          <w:headerReference w:type="even" r:id="rId14"/>
          <w:headerReference w:type="default" r:id="rId15"/>
          <w:footerReference w:type="default" r:id="rId16"/>
          <w:headerReference w:type="first" r:id="rId17"/>
          <w:pgSz w:w="11907" w:h="16840" w:code="9"/>
          <w:pgMar w:top="1701" w:right="1701" w:bottom="1701" w:left="2268" w:header="1134" w:footer="1134" w:gutter="0"/>
          <w:pgNumType w:start="1"/>
          <w:cols w:space="708"/>
          <w:titlePg/>
          <w:docGrid w:linePitch="360"/>
        </w:sectPr>
      </w:pPr>
    </w:p>
    <w:p w14:paraId="1D2B29AC" w14:textId="77777777" w:rsidR="00F829C8" w:rsidRPr="00390B8E" w:rsidRDefault="00F829C8" w:rsidP="00F829C8">
      <w:pPr>
        <w:pStyle w:val="TOCHeading"/>
        <w:rPr>
          <w:color w:val="000000" w:themeColor="text1"/>
        </w:rPr>
      </w:pPr>
      <w:r w:rsidRPr="00390B8E">
        <w:rPr>
          <w:color w:val="000000" w:themeColor="text1"/>
        </w:rPr>
        <w:lastRenderedPageBreak/>
        <w:t>Contents</w:t>
      </w:r>
    </w:p>
    <w:p w14:paraId="6D853B15" w14:textId="607C97CC" w:rsidR="00C8296E" w:rsidRDefault="0078679C">
      <w:pPr>
        <w:pStyle w:val="TOC1"/>
        <w:tabs>
          <w:tab w:val="left" w:pos="400"/>
          <w:tab w:val="right" w:leader="underscore" w:pos="7928"/>
        </w:tabs>
        <w:rPr>
          <w:rFonts w:eastAsiaTheme="minorEastAsia" w:cstheme="minorBidi"/>
          <w:b w:val="0"/>
          <w:bCs w:val="0"/>
          <w:i w:val="0"/>
          <w:iCs w:val="0"/>
          <w:noProof/>
          <w:lang w:eastAsia="en-GB"/>
        </w:rPr>
      </w:pPr>
      <w:r w:rsidRPr="00390B8E">
        <w:rPr>
          <w:color w:val="000000" w:themeColor="text1"/>
        </w:rPr>
        <w:fldChar w:fldCharType="begin"/>
      </w:r>
      <w:r w:rsidRPr="00390B8E">
        <w:rPr>
          <w:color w:val="000000" w:themeColor="text1"/>
        </w:rPr>
        <w:instrText xml:space="preserve"> TOC \o "1-3" \h \z \u </w:instrText>
      </w:r>
      <w:r w:rsidRPr="00390B8E">
        <w:rPr>
          <w:color w:val="000000" w:themeColor="text1"/>
        </w:rPr>
        <w:fldChar w:fldCharType="separate"/>
      </w:r>
      <w:hyperlink w:anchor="_Toc61341263" w:history="1">
        <w:r w:rsidR="00C8296E" w:rsidRPr="00A022C2">
          <w:rPr>
            <w:rStyle w:val="Hyperlink"/>
            <w:noProof/>
          </w:rPr>
          <w:t>1</w:t>
        </w:r>
        <w:r w:rsidR="00C8296E">
          <w:rPr>
            <w:rFonts w:eastAsiaTheme="minorEastAsia" w:cstheme="minorBidi"/>
            <w:b w:val="0"/>
            <w:bCs w:val="0"/>
            <w:i w:val="0"/>
            <w:iCs w:val="0"/>
            <w:noProof/>
            <w:lang w:eastAsia="en-GB"/>
          </w:rPr>
          <w:tab/>
        </w:r>
        <w:r w:rsidR="00C8296E" w:rsidRPr="00A022C2">
          <w:rPr>
            <w:rStyle w:val="Hyperlink"/>
            <w:noProof/>
          </w:rPr>
          <w:t>Summary of recommendations</w:t>
        </w:r>
        <w:r w:rsidR="00C8296E">
          <w:rPr>
            <w:noProof/>
            <w:webHidden/>
          </w:rPr>
          <w:tab/>
        </w:r>
        <w:r w:rsidR="00C8296E">
          <w:rPr>
            <w:noProof/>
            <w:webHidden/>
          </w:rPr>
          <w:fldChar w:fldCharType="begin"/>
        </w:r>
        <w:r w:rsidR="00C8296E">
          <w:rPr>
            <w:noProof/>
            <w:webHidden/>
          </w:rPr>
          <w:instrText xml:space="preserve"> PAGEREF _Toc61341263 \h </w:instrText>
        </w:r>
        <w:r w:rsidR="00C8296E">
          <w:rPr>
            <w:noProof/>
            <w:webHidden/>
          </w:rPr>
        </w:r>
        <w:r w:rsidR="00C8296E">
          <w:rPr>
            <w:noProof/>
            <w:webHidden/>
          </w:rPr>
          <w:fldChar w:fldCharType="separate"/>
        </w:r>
        <w:r w:rsidR="00C8296E">
          <w:rPr>
            <w:noProof/>
            <w:webHidden/>
          </w:rPr>
          <w:t>4</w:t>
        </w:r>
        <w:r w:rsidR="00C8296E">
          <w:rPr>
            <w:noProof/>
            <w:webHidden/>
          </w:rPr>
          <w:fldChar w:fldCharType="end"/>
        </w:r>
      </w:hyperlink>
    </w:p>
    <w:p w14:paraId="2B389369" w14:textId="18EAED60" w:rsidR="00C8296E" w:rsidRDefault="00C8296E">
      <w:pPr>
        <w:pStyle w:val="TOC1"/>
        <w:tabs>
          <w:tab w:val="left" w:pos="400"/>
          <w:tab w:val="right" w:leader="underscore" w:pos="7928"/>
        </w:tabs>
        <w:rPr>
          <w:rFonts w:eastAsiaTheme="minorEastAsia" w:cstheme="minorBidi"/>
          <w:b w:val="0"/>
          <w:bCs w:val="0"/>
          <w:i w:val="0"/>
          <w:iCs w:val="0"/>
          <w:noProof/>
          <w:lang w:eastAsia="en-GB"/>
        </w:rPr>
      </w:pPr>
      <w:hyperlink w:anchor="_Toc61341264" w:history="1">
        <w:r w:rsidRPr="00A022C2">
          <w:rPr>
            <w:rStyle w:val="Hyperlink"/>
            <w:noProof/>
          </w:rPr>
          <w:t>2</w:t>
        </w:r>
        <w:r>
          <w:rPr>
            <w:rFonts w:eastAsiaTheme="minorEastAsia" w:cstheme="minorBidi"/>
            <w:b w:val="0"/>
            <w:bCs w:val="0"/>
            <w:i w:val="0"/>
            <w:iCs w:val="0"/>
            <w:noProof/>
            <w:lang w:eastAsia="en-GB"/>
          </w:rPr>
          <w:tab/>
        </w:r>
        <w:r w:rsidRPr="00A022C2">
          <w:rPr>
            <w:rStyle w:val="Hyperlink"/>
            <w:noProof/>
          </w:rPr>
          <w:t>The AER’s draft determination responds to stakeholder concerns</w:t>
        </w:r>
        <w:r>
          <w:rPr>
            <w:noProof/>
            <w:webHidden/>
          </w:rPr>
          <w:tab/>
        </w:r>
        <w:r>
          <w:rPr>
            <w:noProof/>
            <w:webHidden/>
          </w:rPr>
          <w:fldChar w:fldCharType="begin"/>
        </w:r>
        <w:r>
          <w:rPr>
            <w:noProof/>
            <w:webHidden/>
          </w:rPr>
          <w:instrText xml:space="preserve"> PAGEREF _Toc61341264 \h </w:instrText>
        </w:r>
        <w:r>
          <w:rPr>
            <w:noProof/>
            <w:webHidden/>
          </w:rPr>
        </w:r>
        <w:r>
          <w:rPr>
            <w:noProof/>
            <w:webHidden/>
          </w:rPr>
          <w:fldChar w:fldCharType="separate"/>
        </w:r>
        <w:r>
          <w:rPr>
            <w:noProof/>
            <w:webHidden/>
          </w:rPr>
          <w:t>8</w:t>
        </w:r>
        <w:r>
          <w:rPr>
            <w:noProof/>
            <w:webHidden/>
          </w:rPr>
          <w:fldChar w:fldCharType="end"/>
        </w:r>
      </w:hyperlink>
    </w:p>
    <w:p w14:paraId="347BE382" w14:textId="5B8FBC3F" w:rsidR="00C8296E" w:rsidRDefault="00C8296E">
      <w:pPr>
        <w:pStyle w:val="TOC1"/>
        <w:tabs>
          <w:tab w:val="left" w:pos="400"/>
          <w:tab w:val="right" w:leader="underscore" w:pos="7928"/>
        </w:tabs>
        <w:rPr>
          <w:rFonts w:eastAsiaTheme="minorEastAsia" w:cstheme="minorBidi"/>
          <w:b w:val="0"/>
          <w:bCs w:val="0"/>
          <w:i w:val="0"/>
          <w:iCs w:val="0"/>
          <w:noProof/>
          <w:lang w:eastAsia="en-GB"/>
        </w:rPr>
      </w:pPr>
      <w:hyperlink w:anchor="_Toc61341265" w:history="1">
        <w:r w:rsidRPr="00A022C2">
          <w:rPr>
            <w:rStyle w:val="Hyperlink"/>
            <w:noProof/>
          </w:rPr>
          <w:t>3</w:t>
        </w:r>
        <w:r>
          <w:rPr>
            <w:rFonts w:eastAsiaTheme="minorEastAsia" w:cstheme="minorBidi"/>
            <w:b w:val="0"/>
            <w:bCs w:val="0"/>
            <w:i w:val="0"/>
            <w:iCs w:val="0"/>
            <w:noProof/>
            <w:lang w:eastAsia="en-GB"/>
          </w:rPr>
          <w:tab/>
        </w:r>
        <w:r w:rsidRPr="00A022C2">
          <w:rPr>
            <w:rStyle w:val="Hyperlink"/>
            <w:noProof/>
          </w:rPr>
          <w:t>The EDPR and Victorian consumers</w:t>
        </w:r>
        <w:r>
          <w:rPr>
            <w:noProof/>
            <w:webHidden/>
          </w:rPr>
          <w:tab/>
        </w:r>
        <w:r>
          <w:rPr>
            <w:noProof/>
            <w:webHidden/>
          </w:rPr>
          <w:fldChar w:fldCharType="begin"/>
        </w:r>
        <w:r>
          <w:rPr>
            <w:noProof/>
            <w:webHidden/>
          </w:rPr>
          <w:instrText xml:space="preserve"> PAGEREF _Toc61341265 \h </w:instrText>
        </w:r>
        <w:r>
          <w:rPr>
            <w:noProof/>
            <w:webHidden/>
          </w:rPr>
        </w:r>
        <w:r>
          <w:rPr>
            <w:noProof/>
            <w:webHidden/>
          </w:rPr>
          <w:fldChar w:fldCharType="separate"/>
        </w:r>
        <w:r>
          <w:rPr>
            <w:noProof/>
            <w:webHidden/>
          </w:rPr>
          <w:t>9</w:t>
        </w:r>
        <w:r>
          <w:rPr>
            <w:noProof/>
            <w:webHidden/>
          </w:rPr>
          <w:fldChar w:fldCharType="end"/>
        </w:r>
      </w:hyperlink>
    </w:p>
    <w:p w14:paraId="0FD3CD31" w14:textId="179E36CA" w:rsidR="00C8296E" w:rsidRDefault="00C8296E">
      <w:pPr>
        <w:pStyle w:val="TOC1"/>
        <w:tabs>
          <w:tab w:val="left" w:pos="400"/>
          <w:tab w:val="right" w:leader="underscore" w:pos="7928"/>
        </w:tabs>
        <w:rPr>
          <w:rFonts w:eastAsiaTheme="minorEastAsia" w:cstheme="minorBidi"/>
          <w:b w:val="0"/>
          <w:bCs w:val="0"/>
          <w:i w:val="0"/>
          <w:iCs w:val="0"/>
          <w:noProof/>
          <w:lang w:eastAsia="en-GB"/>
        </w:rPr>
      </w:pPr>
      <w:hyperlink w:anchor="_Toc61341266" w:history="1">
        <w:r w:rsidRPr="00A022C2">
          <w:rPr>
            <w:rStyle w:val="Hyperlink"/>
            <w:noProof/>
          </w:rPr>
          <w:t>4</w:t>
        </w:r>
        <w:r>
          <w:rPr>
            <w:rFonts w:eastAsiaTheme="minorEastAsia" w:cstheme="minorBidi"/>
            <w:b w:val="0"/>
            <w:bCs w:val="0"/>
            <w:i w:val="0"/>
            <w:iCs w:val="0"/>
            <w:noProof/>
            <w:lang w:eastAsia="en-GB"/>
          </w:rPr>
          <w:tab/>
        </w:r>
        <w:r w:rsidRPr="00A022C2">
          <w:rPr>
            <w:rStyle w:val="Hyperlink"/>
            <w:noProof/>
          </w:rPr>
          <w:t>The COVID-19 pandemic – forecasting and other impacts</w:t>
        </w:r>
        <w:r>
          <w:rPr>
            <w:noProof/>
            <w:webHidden/>
          </w:rPr>
          <w:tab/>
        </w:r>
        <w:r>
          <w:rPr>
            <w:noProof/>
            <w:webHidden/>
          </w:rPr>
          <w:fldChar w:fldCharType="begin"/>
        </w:r>
        <w:r>
          <w:rPr>
            <w:noProof/>
            <w:webHidden/>
          </w:rPr>
          <w:instrText xml:space="preserve"> PAGEREF _Toc61341266 \h </w:instrText>
        </w:r>
        <w:r>
          <w:rPr>
            <w:noProof/>
            <w:webHidden/>
          </w:rPr>
        </w:r>
        <w:r>
          <w:rPr>
            <w:noProof/>
            <w:webHidden/>
          </w:rPr>
          <w:fldChar w:fldCharType="separate"/>
        </w:r>
        <w:r>
          <w:rPr>
            <w:noProof/>
            <w:webHidden/>
          </w:rPr>
          <w:t>10</w:t>
        </w:r>
        <w:r>
          <w:rPr>
            <w:noProof/>
            <w:webHidden/>
          </w:rPr>
          <w:fldChar w:fldCharType="end"/>
        </w:r>
      </w:hyperlink>
    </w:p>
    <w:p w14:paraId="4B7397E8" w14:textId="170C826B" w:rsidR="00C8296E" w:rsidRDefault="00C8296E">
      <w:pPr>
        <w:pStyle w:val="TOC2"/>
        <w:tabs>
          <w:tab w:val="right" w:leader="underscore" w:pos="7928"/>
        </w:tabs>
        <w:rPr>
          <w:rFonts w:eastAsiaTheme="minorEastAsia" w:cstheme="minorBidi"/>
          <w:b w:val="0"/>
          <w:bCs w:val="0"/>
          <w:noProof/>
          <w:sz w:val="24"/>
          <w:szCs w:val="24"/>
          <w:lang w:eastAsia="en-GB"/>
        </w:rPr>
      </w:pPr>
      <w:hyperlink w:anchor="_Toc61341267" w:history="1">
        <w:r w:rsidRPr="00A022C2">
          <w:rPr>
            <w:rStyle w:val="Hyperlink"/>
            <w:noProof/>
          </w:rPr>
          <w:t>Forecasting connection numbers and peak demand</w:t>
        </w:r>
        <w:r>
          <w:rPr>
            <w:noProof/>
            <w:webHidden/>
          </w:rPr>
          <w:tab/>
        </w:r>
        <w:r>
          <w:rPr>
            <w:noProof/>
            <w:webHidden/>
          </w:rPr>
          <w:fldChar w:fldCharType="begin"/>
        </w:r>
        <w:r>
          <w:rPr>
            <w:noProof/>
            <w:webHidden/>
          </w:rPr>
          <w:instrText xml:space="preserve"> PAGEREF _Toc61341267 \h </w:instrText>
        </w:r>
        <w:r>
          <w:rPr>
            <w:noProof/>
            <w:webHidden/>
          </w:rPr>
        </w:r>
        <w:r>
          <w:rPr>
            <w:noProof/>
            <w:webHidden/>
          </w:rPr>
          <w:fldChar w:fldCharType="separate"/>
        </w:r>
        <w:r>
          <w:rPr>
            <w:noProof/>
            <w:webHidden/>
          </w:rPr>
          <w:t>10</w:t>
        </w:r>
        <w:r>
          <w:rPr>
            <w:noProof/>
            <w:webHidden/>
          </w:rPr>
          <w:fldChar w:fldCharType="end"/>
        </w:r>
      </w:hyperlink>
    </w:p>
    <w:p w14:paraId="2C978795" w14:textId="210A0387" w:rsidR="00C8296E" w:rsidRDefault="00C8296E">
      <w:pPr>
        <w:pStyle w:val="TOC1"/>
        <w:tabs>
          <w:tab w:val="left" w:pos="400"/>
          <w:tab w:val="right" w:leader="underscore" w:pos="7928"/>
        </w:tabs>
        <w:rPr>
          <w:rFonts w:eastAsiaTheme="minorEastAsia" w:cstheme="minorBidi"/>
          <w:b w:val="0"/>
          <w:bCs w:val="0"/>
          <w:i w:val="0"/>
          <w:iCs w:val="0"/>
          <w:noProof/>
          <w:lang w:eastAsia="en-GB"/>
        </w:rPr>
      </w:pPr>
      <w:hyperlink w:anchor="_Toc61341268" w:history="1">
        <w:r w:rsidRPr="00A022C2">
          <w:rPr>
            <w:rStyle w:val="Hyperlink"/>
            <w:noProof/>
          </w:rPr>
          <w:t>5</w:t>
        </w:r>
        <w:r>
          <w:rPr>
            <w:rFonts w:eastAsiaTheme="minorEastAsia" w:cstheme="minorBidi"/>
            <w:b w:val="0"/>
            <w:bCs w:val="0"/>
            <w:i w:val="0"/>
            <w:iCs w:val="0"/>
            <w:noProof/>
            <w:lang w:eastAsia="en-GB"/>
          </w:rPr>
          <w:tab/>
        </w:r>
        <w:r w:rsidRPr="00A022C2">
          <w:rPr>
            <w:rStyle w:val="Hyperlink"/>
            <w:noProof/>
          </w:rPr>
          <w:t>Customer engagement</w:t>
        </w:r>
        <w:r>
          <w:rPr>
            <w:noProof/>
            <w:webHidden/>
          </w:rPr>
          <w:tab/>
        </w:r>
        <w:r>
          <w:rPr>
            <w:noProof/>
            <w:webHidden/>
          </w:rPr>
          <w:fldChar w:fldCharType="begin"/>
        </w:r>
        <w:r>
          <w:rPr>
            <w:noProof/>
            <w:webHidden/>
          </w:rPr>
          <w:instrText xml:space="preserve"> PAGEREF _Toc61341268 \h </w:instrText>
        </w:r>
        <w:r>
          <w:rPr>
            <w:noProof/>
            <w:webHidden/>
          </w:rPr>
        </w:r>
        <w:r>
          <w:rPr>
            <w:noProof/>
            <w:webHidden/>
          </w:rPr>
          <w:fldChar w:fldCharType="separate"/>
        </w:r>
        <w:r>
          <w:rPr>
            <w:noProof/>
            <w:webHidden/>
          </w:rPr>
          <w:t>12</w:t>
        </w:r>
        <w:r>
          <w:rPr>
            <w:noProof/>
            <w:webHidden/>
          </w:rPr>
          <w:fldChar w:fldCharType="end"/>
        </w:r>
      </w:hyperlink>
    </w:p>
    <w:p w14:paraId="4C3932F9" w14:textId="250BE97D" w:rsidR="00C8296E" w:rsidRDefault="00C8296E">
      <w:pPr>
        <w:pStyle w:val="TOC2"/>
        <w:tabs>
          <w:tab w:val="right" w:leader="underscore" w:pos="7928"/>
        </w:tabs>
        <w:rPr>
          <w:rFonts w:eastAsiaTheme="minorEastAsia" w:cstheme="minorBidi"/>
          <w:b w:val="0"/>
          <w:bCs w:val="0"/>
          <w:noProof/>
          <w:sz w:val="24"/>
          <w:szCs w:val="24"/>
          <w:lang w:eastAsia="en-GB"/>
        </w:rPr>
      </w:pPr>
      <w:hyperlink w:anchor="_Toc61341269" w:history="1">
        <w:r w:rsidRPr="00A022C2">
          <w:rPr>
            <w:rStyle w:val="Hyperlink"/>
            <w:noProof/>
          </w:rPr>
          <w:t>AER Framework for considering consumer engagement</w:t>
        </w:r>
        <w:r>
          <w:rPr>
            <w:noProof/>
            <w:webHidden/>
          </w:rPr>
          <w:tab/>
        </w:r>
        <w:r>
          <w:rPr>
            <w:noProof/>
            <w:webHidden/>
          </w:rPr>
          <w:fldChar w:fldCharType="begin"/>
        </w:r>
        <w:r>
          <w:rPr>
            <w:noProof/>
            <w:webHidden/>
          </w:rPr>
          <w:instrText xml:space="preserve"> PAGEREF _Toc61341269 \h </w:instrText>
        </w:r>
        <w:r>
          <w:rPr>
            <w:noProof/>
            <w:webHidden/>
          </w:rPr>
        </w:r>
        <w:r>
          <w:rPr>
            <w:noProof/>
            <w:webHidden/>
          </w:rPr>
          <w:fldChar w:fldCharType="separate"/>
        </w:r>
        <w:r>
          <w:rPr>
            <w:noProof/>
            <w:webHidden/>
          </w:rPr>
          <w:t>12</w:t>
        </w:r>
        <w:r>
          <w:rPr>
            <w:noProof/>
            <w:webHidden/>
          </w:rPr>
          <w:fldChar w:fldCharType="end"/>
        </w:r>
      </w:hyperlink>
    </w:p>
    <w:p w14:paraId="49655E1D" w14:textId="5E1F5EE4" w:rsidR="00C8296E" w:rsidRDefault="00C8296E">
      <w:pPr>
        <w:pStyle w:val="TOC2"/>
        <w:tabs>
          <w:tab w:val="right" w:leader="underscore" w:pos="7928"/>
        </w:tabs>
        <w:rPr>
          <w:rFonts w:eastAsiaTheme="minorEastAsia" w:cstheme="minorBidi"/>
          <w:b w:val="0"/>
          <w:bCs w:val="0"/>
          <w:noProof/>
          <w:sz w:val="24"/>
          <w:szCs w:val="24"/>
          <w:lang w:eastAsia="en-GB"/>
        </w:rPr>
      </w:pPr>
      <w:hyperlink w:anchor="_Toc61341270" w:history="1">
        <w:r w:rsidRPr="00A022C2">
          <w:rPr>
            <w:rStyle w:val="Hyperlink"/>
            <w:noProof/>
          </w:rPr>
          <w:t>Relevant considerations of the context of engagement</w:t>
        </w:r>
        <w:r>
          <w:rPr>
            <w:noProof/>
            <w:webHidden/>
          </w:rPr>
          <w:tab/>
        </w:r>
        <w:r>
          <w:rPr>
            <w:noProof/>
            <w:webHidden/>
          </w:rPr>
          <w:fldChar w:fldCharType="begin"/>
        </w:r>
        <w:r>
          <w:rPr>
            <w:noProof/>
            <w:webHidden/>
          </w:rPr>
          <w:instrText xml:space="preserve"> PAGEREF _Toc61341270 \h </w:instrText>
        </w:r>
        <w:r>
          <w:rPr>
            <w:noProof/>
            <w:webHidden/>
          </w:rPr>
        </w:r>
        <w:r>
          <w:rPr>
            <w:noProof/>
            <w:webHidden/>
          </w:rPr>
          <w:fldChar w:fldCharType="separate"/>
        </w:r>
        <w:r>
          <w:rPr>
            <w:noProof/>
            <w:webHidden/>
          </w:rPr>
          <w:t>13</w:t>
        </w:r>
        <w:r>
          <w:rPr>
            <w:noProof/>
            <w:webHidden/>
          </w:rPr>
          <w:fldChar w:fldCharType="end"/>
        </w:r>
      </w:hyperlink>
    </w:p>
    <w:p w14:paraId="50D84857" w14:textId="0D1CF1C1" w:rsidR="00C8296E" w:rsidRDefault="00C8296E">
      <w:pPr>
        <w:pStyle w:val="TOC2"/>
        <w:tabs>
          <w:tab w:val="right" w:leader="underscore" w:pos="7928"/>
        </w:tabs>
        <w:rPr>
          <w:rFonts w:eastAsiaTheme="minorEastAsia" w:cstheme="minorBidi"/>
          <w:b w:val="0"/>
          <w:bCs w:val="0"/>
          <w:noProof/>
          <w:sz w:val="24"/>
          <w:szCs w:val="24"/>
          <w:lang w:eastAsia="en-GB"/>
        </w:rPr>
      </w:pPr>
      <w:hyperlink w:anchor="_Toc61341271" w:history="1">
        <w:r w:rsidRPr="00A022C2">
          <w:rPr>
            <w:rStyle w:val="Hyperlink"/>
            <w:noProof/>
          </w:rPr>
          <w:t>Evaluation of New Reg outcomes</w:t>
        </w:r>
        <w:r>
          <w:rPr>
            <w:noProof/>
            <w:webHidden/>
          </w:rPr>
          <w:tab/>
        </w:r>
        <w:r>
          <w:rPr>
            <w:noProof/>
            <w:webHidden/>
          </w:rPr>
          <w:fldChar w:fldCharType="begin"/>
        </w:r>
        <w:r>
          <w:rPr>
            <w:noProof/>
            <w:webHidden/>
          </w:rPr>
          <w:instrText xml:space="preserve"> PAGEREF _Toc61341271 \h </w:instrText>
        </w:r>
        <w:r>
          <w:rPr>
            <w:noProof/>
            <w:webHidden/>
          </w:rPr>
        </w:r>
        <w:r>
          <w:rPr>
            <w:noProof/>
            <w:webHidden/>
          </w:rPr>
          <w:fldChar w:fldCharType="separate"/>
        </w:r>
        <w:r>
          <w:rPr>
            <w:noProof/>
            <w:webHidden/>
          </w:rPr>
          <w:t>14</w:t>
        </w:r>
        <w:r>
          <w:rPr>
            <w:noProof/>
            <w:webHidden/>
          </w:rPr>
          <w:fldChar w:fldCharType="end"/>
        </w:r>
      </w:hyperlink>
    </w:p>
    <w:p w14:paraId="145C083A" w14:textId="0E1AB45F" w:rsidR="00C8296E" w:rsidRDefault="00C8296E">
      <w:pPr>
        <w:pStyle w:val="TOC1"/>
        <w:tabs>
          <w:tab w:val="left" w:pos="400"/>
          <w:tab w:val="right" w:leader="underscore" w:pos="7928"/>
        </w:tabs>
        <w:rPr>
          <w:rFonts w:eastAsiaTheme="minorEastAsia" w:cstheme="minorBidi"/>
          <w:b w:val="0"/>
          <w:bCs w:val="0"/>
          <w:i w:val="0"/>
          <w:iCs w:val="0"/>
          <w:noProof/>
          <w:lang w:eastAsia="en-GB"/>
        </w:rPr>
      </w:pPr>
      <w:hyperlink w:anchor="_Toc61341272" w:history="1">
        <w:r w:rsidRPr="00A022C2">
          <w:rPr>
            <w:rStyle w:val="Hyperlink"/>
            <w:noProof/>
          </w:rPr>
          <w:t>6</w:t>
        </w:r>
        <w:r>
          <w:rPr>
            <w:rFonts w:eastAsiaTheme="minorEastAsia" w:cstheme="minorBidi"/>
            <w:b w:val="0"/>
            <w:bCs w:val="0"/>
            <w:i w:val="0"/>
            <w:iCs w:val="0"/>
            <w:noProof/>
            <w:lang w:eastAsia="en-GB"/>
          </w:rPr>
          <w:tab/>
        </w:r>
        <w:r w:rsidRPr="00A022C2">
          <w:rPr>
            <w:rStyle w:val="Hyperlink"/>
            <w:noProof/>
          </w:rPr>
          <w:t>Opex</w:t>
        </w:r>
        <w:r>
          <w:rPr>
            <w:noProof/>
            <w:webHidden/>
          </w:rPr>
          <w:tab/>
        </w:r>
        <w:r>
          <w:rPr>
            <w:noProof/>
            <w:webHidden/>
          </w:rPr>
          <w:fldChar w:fldCharType="begin"/>
        </w:r>
        <w:r>
          <w:rPr>
            <w:noProof/>
            <w:webHidden/>
          </w:rPr>
          <w:instrText xml:space="preserve"> PAGEREF _Toc61341272 \h </w:instrText>
        </w:r>
        <w:r>
          <w:rPr>
            <w:noProof/>
            <w:webHidden/>
          </w:rPr>
        </w:r>
        <w:r>
          <w:rPr>
            <w:noProof/>
            <w:webHidden/>
          </w:rPr>
          <w:fldChar w:fldCharType="separate"/>
        </w:r>
        <w:r>
          <w:rPr>
            <w:noProof/>
            <w:webHidden/>
          </w:rPr>
          <w:t>15</w:t>
        </w:r>
        <w:r>
          <w:rPr>
            <w:noProof/>
            <w:webHidden/>
          </w:rPr>
          <w:fldChar w:fldCharType="end"/>
        </w:r>
      </w:hyperlink>
    </w:p>
    <w:p w14:paraId="29B44BA6" w14:textId="14D14D87" w:rsidR="00C8296E" w:rsidRDefault="00C8296E">
      <w:pPr>
        <w:pStyle w:val="TOC2"/>
        <w:tabs>
          <w:tab w:val="right" w:leader="underscore" w:pos="7928"/>
        </w:tabs>
        <w:rPr>
          <w:rFonts w:eastAsiaTheme="minorEastAsia" w:cstheme="minorBidi"/>
          <w:b w:val="0"/>
          <w:bCs w:val="0"/>
          <w:noProof/>
          <w:sz w:val="24"/>
          <w:szCs w:val="24"/>
          <w:lang w:eastAsia="en-GB"/>
        </w:rPr>
      </w:pPr>
      <w:hyperlink w:anchor="_Toc61341273" w:history="1">
        <w:r w:rsidRPr="00A022C2">
          <w:rPr>
            <w:rStyle w:val="Hyperlink"/>
            <w:noProof/>
          </w:rPr>
          <w:t>Opex overview</w:t>
        </w:r>
        <w:r>
          <w:rPr>
            <w:noProof/>
            <w:webHidden/>
          </w:rPr>
          <w:tab/>
        </w:r>
        <w:r>
          <w:rPr>
            <w:noProof/>
            <w:webHidden/>
          </w:rPr>
          <w:fldChar w:fldCharType="begin"/>
        </w:r>
        <w:r>
          <w:rPr>
            <w:noProof/>
            <w:webHidden/>
          </w:rPr>
          <w:instrText xml:space="preserve"> PAGEREF _Toc61341273 \h </w:instrText>
        </w:r>
        <w:r>
          <w:rPr>
            <w:noProof/>
            <w:webHidden/>
          </w:rPr>
        </w:r>
        <w:r>
          <w:rPr>
            <w:noProof/>
            <w:webHidden/>
          </w:rPr>
          <w:fldChar w:fldCharType="separate"/>
        </w:r>
        <w:r>
          <w:rPr>
            <w:noProof/>
            <w:webHidden/>
          </w:rPr>
          <w:t>15</w:t>
        </w:r>
        <w:r>
          <w:rPr>
            <w:noProof/>
            <w:webHidden/>
          </w:rPr>
          <w:fldChar w:fldCharType="end"/>
        </w:r>
      </w:hyperlink>
    </w:p>
    <w:p w14:paraId="04C6EA16" w14:textId="2AAC0B5C" w:rsidR="00C8296E" w:rsidRDefault="00C8296E">
      <w:pPr>
        <w:pStyle w:val="TOC2"/>
        <w:tabs>
          <w:tab w:val="right" w:leader="underscore" w:pos="7928"/>
        </w:tabs>
        <w:rPr>
          <w:rFonts w:eastAsiaTheme="minorEastAsia" w:cstheme="minorBidi"/>
          <w:b w:val="0"/>
          <w:bCs w:val="0"/>
          <w:noProof/>
          <w:sz w:val="24"/>
          <w:szCs w:val="24"/>
          <w:lang w:eastAsia="en-GB"/>
        </w:rPr>
      </w:pPr>
      <w:hyperlink w:anchor="_Toc61341274" w:history="1">
        <w:r w:rsidRPr="00A022C2">
          <w:rPr>
            <w:rStyle w:val="Hyperlink"/>
            <w:noProof/>
          </w:rPr>
          <w:t>Opex trend analysis</w:t>
        </w:r>
        <w:r>
          <w:rPr>
            <w:noProof/>
            <w:webHidden/>
          </w:rPr>
          <w:tab/>
        </w:r>
        <w:r>
          <w:rPr>
            <w:noProof/>
            <w:webHidden/>
          </w:rPr>
          <w:fldChar w:fldCharType="begin"/>
        </w:r>
        <w:r>
          <w:rPr>
            <w:noProof/>
            <w:webHidden/>
          </w:rPr>
          <w:instrText xml:space="preserve"> PAGEREF _Toc61341274 \h </w:instrText>
        </w:r>
        <w:r>
          <w:rPr>
            <w:noProof/>
            <w:webHidden/>
          </w:rPr>
        </w:r>
        <w:r>
          <w:rPr>
            <w:noProof/>
            <w:webHidden/>
          </w:rPr>
          <w:fldChar w:fldCharType="separate"/>
        </w:r>
        <w:r>
          <w:rPr>
            <w:noProof/>
            <w:webHidden/>
          </w:rPr>
          <w:t>15</w:t>
        </w:r>
        <w:r>
          <w:rPr>
            <w:noProof/>
            <w:webHidden/>
          </w:rPr>
          <w:fldChar w:fldCharType="end"/>
        </w:r>
      </w:hyperlink>
    </w:p>
    <w:p w14:paraId="5E0F0C1B" w14:textId="7BF7F0BF" w:rsidR="00C8296E" w:rsidRDefault="00C8296E">
      <w:pPr>
        <w:pStyle w:val="TOC2"/>
        <w:tabs>
          <w:tab w:val="right" w:leader="underscore" w:pos="7928"/>
        </w:tabs>
        <w:rPr>
          <w:rFonts w:eastAsiaTheme="minorEastAsia" w:cstheme="minorBidi"/>
          <w:b w:val="0"/>
          <w:bCs w:val="0"/>
          <w:noProof/>
          <w:sz w:val="24"/>
          <w:szCs w:val="24"/>
          <w:lang w:eastAsia="en-GB"/>
        </w:rPr>
      </w:pPr>
      <w:hyperlink w:anchor="_Toc61341275" w:history="1">
        <w:r w:rsidRPr="00A022C2">
          <w:rPr>
            <w:rStyle w:val="Hyperlink"/>
            <w:noProof/>
          </w:rPr>
          <w:t>Opex base year</w:t>
        </w:r>
        <w:r>
          <w:rPr>
            <w:noProof/>
            <w:webHidden/>
          </w:rPr>
          <w:tab/>
        </w:r>
        <w:r>
          <w:rPr>
            <w:noProof/>
            <w:webHidden/>
          </w:rPr>
          <w:fldChar w:fldCharType="begin"/>
        </w:r>
        <w:r>
          <w:rPr>
            <w:noProof/>
            <w:webHidden/>
          </w:rPr>
          <w:instrText xml:space="preserve"> PAGEREF _Toc61341275 \h </w:instrText>
        </w:r>
        <w:r>
          <w:rPr>
            <w:noProof/>
            <w:webHidden/>
          </w:rPr>
        </w:r>
        <w:r>
          <w:rPr>
            <w:noProof/>
            <w:webHidden/>
          </w:rPr>
          <w:fldChar w:fldCharType="separate"/>
        </w:r>
        <w:r>
          <w:rPr>
            <w:noProof/>
            <w:webHidden/>
          </w:rPr>
          <w:t>16</w:t>
        </w:r>
        <w:r>
          <w:rPr>
            <w:noProof/>
            <w:webHidden/>
          </w:rPr>
          <w:fldChar w:fldCharType="end"/>
        </w:r>
      </w:hyperlink>
    </w:p>
    <w:p w14:paraId="025057E8" w14:textId="71E16BF5" w:rsidR="00C8296E" w:rsidRDefault="00C8296E">
      <w:pPr>
        <w:pStyle w:val="TOC3"/>
        <w:tabs>
          <w:tab w:val="right" w:leader="underscore" w:pos="7928"/>
        </w:tabs>
        <w:rPr>
          <w:rFonts w:eastAsiaTheme="minorEastAsia" w:cstheme="minorBidi"/>
          <w:noProof/>
          <w:sz w:val="24"/>
          <w:szCs w:val="24"/>
          <w:lang w:eastAsia="en-GB"/>
        </w:rPr>
      </w:pPr>
      <w:hyperlink w:anchor="_Toc61341276" w:history="1">
        <w:r w:rsidRPr="00A022C2">
          <w:rPr>
            <w:rStyle w:val="Hyperlink"/>
            <w:noProof/>
          </w:rPr>
          <w:t>Jemena opex base year efficiency</w:t>
        </w:r>
        <w:r>
          <w:rPr>
            <w:noProof/>
            <w:webHidden/>
          </w:rPr>
          <w:tab/>
        </w:r>
        <w:r>
          <w:rPr>
            <w:noProof/>
            <w:webHidden/>
          </w:rPr>
          <w:fldChar w:fldCharType="begin"/>
        </w:r>
        <w:r>
          <w:rPr>
            <w:noProof/>
            <w:webHidden/>
          </w:rPr>
          <w:instrText xml:space="preserve"> PAGEREF _Toc61341276 \h </w:instrText>
        </w:r>
        <w:r>
          <w:rPr>
            <w:noProof/>
            <w:webHidden/>
          </w:rPr>
        </w:r>
        <w:r>
          <w:rPr>
            <w:noProof/>
            <w:webHidden/>
          </w:rPr>
          <w:fldChar w:fldCharType="separate"/>
        </w:r>
        <w:r>
          <w:rPr>
            <w:noProof/>
            <w:webHidden/>
          </w:rPr>
          <w:t>16</w:t>
        </w:r>
        <w:r>
          <w:rPr>
            <w:noProof/>
            <w:webHidden/>
          </w:rPr>
          <w:fldChar w:fldCharType="end"/>
        </w:r>
      </w:hyperlink>
    </w:p>
    <w:p w14:paraId="5F490891" w14:textId="7A48D86A" w:rsidR="00C8296E" w:rsidRDefault="00C8296E">
      <w:pPr>
        <w:pStyle w:val="TOC3"/>
        <w:tabs>
          <w:tab w:val="right" w:leader="underscore" w:pos="7928"/>
        </w:tabs>
        <w:rPr>
          <w:rFonts w:eastAsiaTheme="minorEastAsia" w:cstheme="minorBidi"/>
          <w:noProof/>
          <w:sz w:val="24"/>
          <w:szCs w:val="24"/>
          <w:lang w:eastAsia="en-GB"/>
        </w:rPr>
      </w:pPr>
      <w:hyperlink w:anchor="_Toc61341277" w:history="1">
        <w:r w:rsidRPr="00A022C2">
          <w:rPr>
            <w:rStyle w:val="Hyperlink"/>
            <w:noProof/>
          </w:rPr>
          <w:t>AusNet Services opex base year efficiency</w:t>
        </w:r>
        <w:r>
          <w:rPr>
            <w:noProof/>
            <w:webHidden/>
          </w:rPr>
          <w:tab/>
        </w:r>
        <w:r>
          <w:rPr>
            <w:noProof/>
            <w:webHidden/>
          </w:rPr>
          <w:fldChar w:fldCharType="begin"/>
        </w:r>
        <w:r>
          <w:rPr>
            <w:noProof/>
            <w:webHidden/>
          </w:rPr>
          <w:instrText xml:space="preserve"> PAGEREF _Toc61341277 \h </w:instrText>
        </w:r>
        <w:r>
          <w:rPr>
            <w:noProof/>
            <w:webHidden/>
          </w:rPr>
        </w:r>
        <w:r>
          <w:rPr>
            <w:noProof/>
            <w:webHidden/>
          </w:rPr>
          <w:fldChar w:fldCharType="separate"/>
        </w:r>
        <w:r>
          <w:rPr>
            <w:noProof/>
            <w:webHidden/>
          </w:rPr>
          <w:t>16</w:t>
        </w:r>
        <w:r>
          <w:rPr>
            <w:noProof/>
            <w:webHidden/>
          </w:rPr>
          <w:fldChar w:fldCharType="end"/>
        </w:r>
      </w:hyperlink>
    </w:p>
    <w:p w14:paraId="0FDA7FBE" w14:textId="2C1E7E5E" w:rsidR="00C8296E" w:rsidRDefault="00C8296E">
      <w:pPr>
        <w:pStyle w:val="TOC2"/>
        <w:tabs>
          <w:tab w:val="right" w:leader="underscore" w:pos="7928"/>
        </w:tabs>
        <w:rPr>
          <w:rFonts w:eastAsiaTheme="minorEastAsia" w:cstheme="minorBidi"/>
          <w:b w:val="0"/>
          <w:bCs w:val="0"/>
          <w:noProof/>
          <w:sz w:val="24"/>
          <w:szCs w:val="24"/>
          <w:lang w:eastAsia="en-GB"/>
        </w:rPr>
      </w:pPr>
      <w:hyperlink w:anchor="_Toc61341278" w:history="1">
        <w:r w:rsidRPr="00A022C2">
          <w:rPr>
            <w:rStyle w:val="Hyperlink"/>
            <w:noProof/>
          </w:rPr>
          <w:t>Opex step changes</w:t>
        </w:r>
        <w:r>
          <w:rPr>
            <w:noProof/>
            <w:webHidden/>
          </w:rPr>
          <w:tab/>
        </w:r>
        <w:r>
          <w:rPr>
            <w:noProof/>
            <w:webHidden/>
          </w:rPr>
          <w:fldChar w:fldCharType="begin"/>
        </w:r>
        <w:r>
          <w:rPr>
            <w:noProof/>
            <w:webHidden/>
          </w:rPr>
          <w:instrText xml:space="preserve"> PAGEREF _Toc61341278 \h </w:instrText>
        </w:r>
        <w:r>
          <w:rPr>
            <w:noProof/>
            <w:webHidden/>
          </w:rPr>
        </w:r>
        <w:r>
          <w:rPr>
            <w:noProof/>
            <w:webHidden/>
          </w:rPr>
          <w:fldChar w:fldCharType="separate"/>
        </w:r>
        <w:r>
          <w:rPr>
            <w:noProof/>
            <w:webHidden/>
          </w:rPr>
          <w:t>17</w:t>
        </w:r>
        <w:r>
          <w:rPr>
            <w:noProof/>
            <w:webHidden/>
          </w:rPr>
          <w:fldChar w:fldCharType="end"/>
        </w:r>
      </w:hyperlink>
    </w:p>
    <w:p w14:paraId="4C635711" w14:textId="0B6B7F79" w:rsidR="00C8296E" w:rsidRDefault="00C8296E">
      <w:pPr>
        <w:pStyle w:val="TOC3"/>
        <w:tabs>
          <w:tab w:val="right" w:leader="underscore" w:pos="7928"/>
        </w:tabs>
        <w:rPr>
          <w:rFonts w:eastAsiaTheme="minorEastAsia" w:cstheme="minorBidi"/>
          <w:noProof/>
          <w:sz w:val="24"/>
          <w:szCs w:val="24"/>
          <w:lang w:eastAsia="en-GB"/>
        </w:rPr>
      </w:pPr>
      <w:hyperlink w:anchor="_Toc61341279" w:history="1">
        <w:r w:rsidRPr="00A022C2">
          <w:rPr>
            <w:rStyle w:val="Hyperlink"/>
            <w:noProof/>
          </w:rPr>
          <w:t>AusNet Services innovation fund</w:t>
        </w:r>
        <w:r>
          <w:rPr>
            <w:noProof/>
            <w:webHidden/>
          </w:rPr>
          <w:tab/>
        </w:r>
        <w:r>
          <w:rPr>
            <w:noProof/>
            <w:webHidden/>
          </w:rPr>
          <w:fldChar w:fldCharType="begin"/>
        </w:r>
        <w:r>
          <w:rPr>
            <w:noProof/>
            <w:webHidden/>
          </w:rPr>
          <w:instrText xml:space="preserve"> PAGEREF _Toc61341279 \h </w:instrText>
        </w:r>
        <w:r>
          <w:rPr>
            <w:noProof/>
            <w:webHidden/>
          </w:rPr>
        </w:r>
        <w:r>
          <w:rPr>
            <w:noProof/>
            <w:webHidden/>
          </w:rPr>
          <w:fldChar w:fldCharType="separate"/>
        </w:r>
        <w:r>
          <w:rPr>
            <w:noProof/>
            <w:webHidden/>
          </w:rPr>
          <w:t>17</w:t>
        </w:r>
        <w:r>
          <w:rPr>
            <w:noProof/>
            <w:webHidden/>
          </w:rPr>
          <w:fldChar w:fldCharType="end"/>
        </w:r>
      </w:hyperlink>
    </w:p>
    <w:p w14:paraId="1A10061D" w14:textId="5B9C0BDF" w:rsidR="00C8296E" w:rsidRDefault="00C8296E">
      <w:pPr>
        <w:pStyle w:val="TOC3"/>
        <w:tabs>
          <w:tab w:val="right" w:leader="underscore" w:pos="7928"/>
        </w:tabs>
        <w:rPr>
          <w:rFonts w:eastAsiaTheme="minorEastAsia" w:cstheme="minorBidi"/>
          <w:noProof/>
          <w:sz w:val="24"/>
          <w:szCs w:val="24"/>
          <w:lang w:eastAsia="en-GB"/>
        </w:rPr>
      </w:pPr>
      <w:hyperlink w:anchor="_Toc61341280" w:history="1">
        <w:r w:rsidRPr="00A022C2">
          <w:rPr>
            <w:rStyle w:val="Hyperlink"/>
            <w:noProof/>
          </w:rPr>
          <w:t>AusNet Services bushfire insurance</w:t>
        </w:r>
        <w:r>
          <w:rPr>
            <w:noProof/>
            <w:webHidden/>
          </w:rPr>
          <w:tab/>
        </w:r>
        <w:r>
          <w:rPr>
            <w:noProof/>
            <w:webHidden/>
          </w:rPr>
          <w:fldChar w:fldCharType="begin"/>
        </w:r>
        <w:r>
          <w:rPr>
            <w:noProof/>
            <w:webHidden/>
          </w:rPr>
          <w:instrText xml:space="preserve"> PAGEREF _Toc61341280 \h </w:instrText>
        </w:r>
        <w:r>
          <w:rPr>
            <w:noProof/>
            <w:webHidden/>
          </w:rPr>
        </w:r>
        <w:r>
          <w:rPr>
            <w:noProof/>
            <w:webHidden/>
          </w:rPr>
          <w:fldChar w:fldCharType="separate"/>
        </w:r>
        <w:r>
          <w:rPr>
            <w:noProof/>
            <w:webHidden/>
          </w:rPr>
          <w:t>17</w:t>
        </w:r>
        <w:r>
          <w:rPr>
            <w:noProof/>
            <w:webHidden/>
          </w:rPr>
          <w:fldChar w:fldCharType="end"/>
        </w:r>
      </w:hyperlink>
    </w:p>
    <w:p w14:paraId="73C73F54" w14:textId="022FF803" w:rsidR="00C8296E" w:rsidRDefault="00C8296E">
      <w:pPr>
        <w:pStyle w:val="TOC2"/>
        <w:tabs>
          <w:tab w:val="right" w:leader="underscore" w:pos="7928"/>
        </w:tabs>
        <w:rPr>
          <w:rFonts w:eastAsiaTheme="minorEastAsia" w:cstheme="minorBidi"/>
          <w:b w:val="0"/>
          <w:bCs w:val="0"/>
          <w:noProof/>
          <w:sz w:val="24"/>
          <w:szCs w:val="24"/>
          <w:lang w:eastAsia="en-GB"/>
        </w:rPr>
      </w:pPr>
      <w:hyperlink w:anchor="_Toc61341281" w:history="1">
        <w:r w:rsidRPr="00A022C2">
          <w:rPr>
            <w:rStyle w:val="Hyperlink"/>
            <w:noProof/>
          </w:rPr>
          <w:t>Opex growth trends</w:t>
        </w:r>
        <w:r>
          <w:rPr>
            <w:noProof/>
            <w:webHidden/>
          </w:rPr>
          <w:tab/>
        </w:r>
        <w:r>
          <w:rPr>
            <w:noProof/>
            <w:webHidden/>
          </w:rPr>
          <w:fldChar w:fldCharType="begin"/>
        </w:r>
        <w:r>
          <w:rPr>
            <w:noProof/>
            <w:webHidden/>
          </w:rPr>
          <w:instrText xml:space="preserve"> PAGEREF _Toc61341281 \h </w:instrText>
        </w:r>
        <w:r>
          <w:rPr>
            <w:noProof/>
            <w:webHidden/>
          </w:rPr>
        </w:r>
        <w:r>
          <w:rPr>
            <w:noProof/>
            <w:webHidden/>
          </w:rPr>
          <w:fldChar w:fldCharType="separate"/>
        </w:r>
        <w:r>
          <w:rPr>
            <w:noProof/>
            <w:webHidden/>
          </w:rPr>
          <w:t>18</w:t>
        </w:r>
        <w:r>
          <w:rPr>
            <w:noProof/>
            <w:webHidden/>
          </w:rPr>
          <w:fldChar w:fldCharType="end"/>
        </w:r>
      </w:hyperlink>
    </w:p>
    <w:p w14:paraId="3DD56D94" w14:textId="659972A1" w:rsidR="00C8296E" w:rsidRDefault="00C8296E">
      <w:pPr>
        <w:pStyle w:val="TOC1"/>
        <w:tabs>
          <w:tab w:val="left" w:pos="400"/>
          <w:tab w:val="right" w:leader="underscore" w:pos="7928"/>
        </w:tabs>
        <w:rPr>
          <w:rFonts w:eastAsiaTheme="minorEastAsia" w:cstheme="minorBidi"/>
          <w:b w:val="0"/>
          <w:bCs w:val="0"/>
          <w:i w:val="0"/>
          <w:iCs w:val="0"/>
          <w:noProof/>
          <w:lang w:eastAsia="en-GB"/>
        </w:rPr>
      </w:pPr>
      <w:hyperlink w:anchor="_Toc61341282" w:history="1">
        <w:r w:rsidRPr="00A022C2">
          <w:rPr>
            <w:rStyle w:val="Hyperlink"/>
            <w:noProof/>
          </w:rPr>
          <w:t>7</w:t>
        </w:r>
        <w:r>
          <w:rPr>
            <w:rFonts w:eastAsiaTheme="minorEastAsia" w:cstheme="minorBidi"/>
            <w:b w:val="0"/>
            <w:bCs w:val="0"/>
            <w:i w:val="0"/>
            <w:iCs w:val="0"/>
            <w:noProof/>
            <w:lang w:eastAsia="en-GB"/>
          </w:rPr>
          <w:tab/>
        </w:r>
        <w:r w:rsidRPr="00A022C2">
          <w:rPr>
            <w:rStyle w:val="Hyperlink"/>
            <w:noProof/>
          </w:rPr>
          <w:t>Capital expenditure</w:t>
        </w:r>
        <w:r>
          <w:rPr>
            <w:noProof/>
            <w:webHidden/>
          </w:rPr>
          <w:tab/>
        </w:r>
        <w:r>
          <w:rPr>
            <w:noProof/>
            <w:webHidden/>
          </w:rPr>
          <w:fldChar w:fldCharType="begin"/>
        </w:r>
        <w:r>
          <w:rPr>
            <w:noProof/>
            <w:webHidden/>
          </w:rPr>
          <w:instrText xml:space="preserve"> PAGEREF _Toc61341282 \h </w:instrText>
        </w:r>
        <w:r>
          <w:rPr>
            <w:noProof/>
            <w:webHidden/>
          </w:rPr>
        </w:r>
        <w:r>
          <w:rPr>
            <w:noProof/>
            <w:webHidden/>
          </w:rPr>
          <w:fldChar w:fldCharType="separate"/>
        </w:r>
        <w:r>
          <w:rPr>
            <w:noProof/>
            <w:webHidden/>
          </w:rPr>
          <w:t>18</w:t>
        </w:r>
        <w:r>
          <w:rPr>
            <w:noProof/>
            <w:webHidden/>
          </w:rPr>
          <w:fldChar w:fldCharType="end"/>
        </w:r>
      </w:hyperlink>
    </w:p>
    <w:p w14:paraId="3FD9AE8B" w14:textId="27442F1A" w:rsidR="00C8296E" w:rsidRDefault="00C8296E">
      <w:pPr>
        <w:pStyle w:val="TOC2"/>
        <w:tabs>
          <w:tab w:val="right" w:leader="underscore" w:pos="7928"/>
        </w:tabs>
        <w:rPr>
          <w:rFonts w:eastAsiaTheme="minorEastAsia" w:cstheme="minorBidi"/>
          <w:b w:val="0"/>
          <w:bCs w:val="0"/>
          <w:noProof/>
          <w:sz w:val="24"/>
          <w:szCs w:val="24"/>
          <w:lang w:eastAsia="en-GB"/>
        </w:rPr>
      </w:pPr>
      <w:hyperlink w:anchor="_Toc61341283" w:history="1">
        <w:r w:rsidRPr="00A022C2">
          <w:rPr>
            <w:rStyle w:val="Hyperlink"/>
            <w:noProof/>
          </w:rPr>
          <w:t>Overview</w:t>
        </w:r>
        <w:r>
          <w:rPr>
            <w:noProof/>
            <w:webHidden/>
          </w:rPr>
          <w:tab/>
        </w:r>
        <w:r>
          <w:rPr>
            <w:noProof/>
            <w:webHidden/>
          </w:rPr>
          <w:fldChar w:fldCharType="begin"/>
        </w:r>
        <w:r>
          <w:rPr>
            <w:noProof/>
            <w:webHidden/>
          </w:rPr>
          <w:instrText xml:space="preserve"> PAGEREF _Toc61341283 \h </w:instrText>
        </w:r>
        <w:r>
          <w:rPr>
            <w:noProof/>
            <w:webHidden/>
          </w:rPr>
        </w:r>
        <w:r>
          <w:rPr>
            <w:noProof/>
            <w:webHidden/>
          </w:rPr>
          <w:fldChar w:fldCharType="separate"/>
        </w:r>
        <w:r>
          <w:rPr>
            <w:noProof/>
            <w:webHidden/>
          </w:rPr>
          <w:t>18</w:t>
        </w:r>
        <w:r>
          <w:rPr>
            <w:noProof/>
            <w:webHidden/>
          </w:rPr>
          <w:fldChar w:fldCharType="end"/>
        </w:r>
      </w:hyperlink>
    </w:p>
    <w:p w14:paraId="1D09D3EE" w14:textId="5F5AA319" w:rsidR="00C8296E" w:rsidRDefault="00C8296E">
      <w:pPr>
        <w:pStyle w:val="TOC2"/>
        <w:tabs>
          <w:tab w:val="right" w:leader="underscore" w:pos="7928"/>
        </w:tabs>
        <w:rPr>
          <w:rFonts w:eastAsiaTheme="minorEastAsia" w:cstheme="minorBidi"/>
          <w:b w:val="0"/>
          <w:bCs w:val="0"/>
          <w:noProof/>
          <w:sz w:val="24"/>
          <w:szCs w:val="24"/>
          <w:lang w:eastAsia="en-GB"/>
        </w:rPr>
      </w:pPr>
      <w:hyperlink w:anchor="_Toc61341284" w:history="1">
        <w:r w:rsidRPr="00A022C2">
          <w:rPr>
            <w:rStyle w:val="Hyperlink"/>
            <w:noProof/>
          </w:rPr>
          <w:t>Capex analysis</w:t>
        </w:r>
        <w:r>
          <w:rPr>
            <w:noProof/>
            <w:webHidden/>
          </w:rPr>
          <w:tab/>
        </w:r>
        <w:r>
          <w:rPr>
            <w:noProof/>
            <w:webHidden/>
          </w:rPr>
          <w:fldChar w:fldCharType="begin"/>
        </w:r>
        <w:r>
          <w:rPr>
            <w:noProof/>
            <w:webHidden/>
          </w:rPr>
          <w:instrText xml:space="preserve"> PAGEREF _Toc61341284 \h </w:instrText>
        </w:r>
        <w:r>
          <w:rPr>
            <w:noProof/>
            <w:webHidden/>
          </w:rPr>
        </w:r>
        <w:r>
          <w:rPr>
            <w:noProof/>
            <w:webHidden/>
          </w:rPr>
          <w:fldChar w:fldCharType="separate"/>
        </w:r>
        <w:r>
          <w:rPr>
            <w:noProof/>
            <w:webHidden/>
          </w:rPr>
          <w:t>19</w:t>
        </w:r>
        <w:r>
          <w:rPr>
            <w:noProof/>
            <w:webHidden/>
          </w:rPr>
          <w:fldChar w:fldCharType="end"/>
        </w:r>
      </w:hyperlink>
    </w:p>
    <w:p w14:paraId="1D14053D" w14:textId="2154071A" w:rsidR="00C8296E" w:rsidRDefault="00C8296E">
      <w:pPr>
        <w:pStyle w:val="TOC2"/>
        <w:tabs>
          <w:tab w:val="right" w:leader="underscore" w:pos="7928"/>
        </w:tabs>
        <w:rPr>
          <w:rFonts w:eastAsiaTheme="minorEastAsia" w:cstheme="minorBidi"/>
          <w:b w:val="0"/>
          <w:bCs w:val="0"/>
          <w:noProof/>
          <w:sz w:val="24"/>
          <w:szCs w:val="24"/>
          <w:lang w:eastAsia="en-GB"/>
        </w:rPr>
      </w:pPr>
      <w:hyperlink w:anchor="_Toc61341285" w:history="1">
        <w:r w:rsidRPr="00A022C2">
          <w:rPr>
            <w:rStyle w:val="Hyperlink"/>
            <w:noProof/>
          </w:rPr>
          <w:t>Repex</w:t>
        </w:r>
        <w:r>
          <w:rPr>
            <w:noProof/>
            <w:webHidden/>
          </w:rPr>
          <w:tab/>
        </w:r>
        <w:r>
          <w:rPr>
            <w:noProof/>
            <w:webHidden/>
          </w:rPr>
          <w:fldChar w:fldCharType="begin"/>
        </w:r>
        <w:r>
          <w:rPr>
            <w:noProof/>
            <w:webHidden/>
          </w:rPr>
          <w:instrText xml:space="preserve"> PAGEREF _Toc61341285 \h </w:instrText>
        </w:r>
        <w:r>
          <w:rPr>
            <w:noProof/>
            <w:webHidden/>
          </w:rPr>
        </w:r>
        <w:r>
          <w:rPr>
            <w:noProof/>
            <w:webHidden/>
          </w:rPr>
          <w:fldChar w:fldCharType="separate"/>
        </w:r>
        <w:r>
          <w:rPr>
            <w:noProof/>
            <w:webHidden/>
          </w:rPr>
          <w:t>19</w:t>
        </w:r>
        <w:r>
          <w:rPr>
            <w:noProof/>
            <w:webHidden/>
          </w:rPr>
          <w:fldChar w:fldCharType="end"/>
        </w:r>
      </w:hyperlink>
    </w:p>
    <w:p w14:paraId="2419BC58" w14:textId="4C04C3BB" w:rsidR="00C8296E" w:rsidRDefault="00C8296E">
      <w:pPr>
        <w:pStyle w:val="TOC3"/>
        <w:tabs>
          <w:tab w:val="right" w:leader="underscore" w:pos="7928"/>
        </w:tabs>
        <w:rPr>
          <w:rFonts w:eastAsiaTheme="minorEastAsia" w:cstheme="minorBidi"/>
          <w:noProof/>
          <w:sz w:val="24"/>
          <w:szCs w:val="24"/>
          <w:lang w:eastAsia="en-GB"/>
        </w:rPr>
      </w:pPr>
      <w:hyperlink w:anchor="_Toc61341286" w:history="1">
        <w:r w:rsidRPr="00A022C2">
          <w:rPr>
            <w:rStyle w:val="Hyperlink"/>
            <w:noProof/>
          </w:rPr>
          <w:t>CPPALUE Poles Repex</w:t>
        </w:r>
        <w:r>
          <w:rPr>
            <w:noProof/>
            <w:webHidden/>
          </w:rPr>
          <w:tab/>
        </w:r>
        <w:r>
          <w:rPr>
            <w:noProof/>
            <w:webHidden/>
          </w:rPr>
          <w:fldChar w:fldCharType="begin"/>
        </w:r>
        <w:r>
          <w:rPr>
            <w:noProof/>
            <w:webHidden/>
          </w:rPr>
          <w:instrText xml:space="preserve"> PAGEREF _Toc61341286 \h </w:instrText>
        </w:r>
        <w:r>
          <w:rPr>
            <w:noProof/>
            <w:webHidden/>
          </w:rPr>
        </w:r>
        <w:r>
          <w:rPr>
            <w:noProof/>
            <w:webHidden/>
          </w:rPr>
          <w:fldChar w:fldCharType="separate"/>
        </w:r>
        <w:r>
          <w:rPr>
            <w:noProof/>
            <w:webHidden/>
          </w:rPr>
          <w:t>20</w:t>
        </w:r>
        <w:r>
          <w:rPr>
            <w:noProof/>
            <w:webHidden/>
          </w:rPr>
          <w:fldChar w:fldCharType="end"/>
        </w:r>
      </w:hyperlink>
    </w:p>
    <w:p w14:paraId="0A5B44E1" w14:textId="3841542B" w:rsidR="00C8296E" w:rsidRDefault="00C8296E">
      <w:pPr>
        <w:pStyle w:val="TOC3"/>
        <w:tabs>
          <w:tab w:val="right" w:leader="underscore" w:pos="7928"/>
        </w:tabs>
        <w:rPr>
          <w:rFonts w:eastAsiaTheme="minorEastAsia" w:cstheme="minorBidi"/>
          <w:noProof/>
          <w:sz w:val="24"/>
          <w:szCs w:val="24"/>
          <w:lang w:eastAsia="en-GB"/>
        </w:rPr>
      </w:pPr>
      <w:hyperlink w:anchor="_Toc61341287" w:history="1">
        <w:r w:rsidRPr="00A022C2">
          <w:rPr>
            <w:rStyle w:val="Hyperlink"/>
            <w:noProof/>
          </w:rPr>
          <w:t>AusNet and Jemena Repex</w:t>
        </w:r>
        <w:r>
          <w:rPr>
            <w:noProof/>
            <w:webHidden/>
          </w:rPr>
          <w:tab/>
        </w:r>
        <w:r>
          <w:rPr>
            <w:noProof/>
            <w:webHidden/>
          </w:rPr>
          <w:fldChar w:fldCharType="begin"/>
        </w:r>
        <w:r>
          <w:rPr>
            <w:noProof/>
            <w:webHidden/>
          </w:rPr>
          <w:instrText xml:space="preserve"> PAGEREF _Toc61341287 \h </w:instrText>
        </w:r>
        <w:r>
          <w:rPr>
            <w:noProof/>
            <w:webHidden/>
          </w:rPr>
        </w:r>
        <w:r>
          <w:rPr>
            <w:noProof/>
            <w:webHidden/>
          </w:rPr>
          <w:fldChar w:fldCharType="separate"/>
        </w:r>
        <w:r>
          <w:rPr>
            <w:noProof/>
            <w:webHidden/>
          </w:rPr>
          <w:t>20</w:t>
        </w:r>
        <w:r>
          <w:rPr>
            <w:noProof/>
            <w:webHidden/>
          </w:rPr>
          <w:fldChar w:fldCharType="end"/>
        </w:r>
      </w:hyperlink>
    </w:p>
    <w:p w14:paraId="6A6E1519" w14:textId="0D32D706" w:rsidR="00C8296E" w:rsidRDefault="00C8296E">
      <w:pPr>
        <w:pStyle w:val="TOC2"/>
        <w:tabs>
          <w:tab w:val="right" w:leader="underscore" w:pos="7928"/>
        </w:tabs>
        <w:rPr>
          <w:rFonts w:eastAsiaTheme="minorEastAsia" w:cstheme="minorBidi"/>
          <w:b w:val="0"/>
          <w:bCs w:val="0"/>
          <w:noProof/>
          <w:sz w:val="24"/>
          <w:szCs w:val="24"/>
          <w:lang w:eastAsia="en-GB"/>
        </w:rPr>
      </w:pPr>
      <w:hyperlink w:anchor="_Toc61341288" w:history="1">
        <w:r w:rsidRPr="00A022C2">
          <w:rPr>
            <w:rStyle w:val="Hyperlink"/>
            <w:noProof/>
          </w:rPr>
          <w:t>Augex</w:t>
        </w:r>
        <w:r>
          <w:rPr>
            <w:noProof/>
            <w:webHidden/>
          </w:rPr>
          <w:tab/>
        </w:r>
        <w:r>
          <w:rPr>
            <w:noProof/>
            <w:webHidden/>
          </w:rPr>
          <w:fldChar w:fldCharType="begin"/>
        </w:r>
        <w:r>
          <w:rPr>
            <w:noProof/>
            <w:webHidden/>
          </w:rPr>
          <w:instrText xml:space="preserve"> PAGEREF _Toc61341288 \h </w:instrText>
        </w:r>
        <w:r>
          <w:rPr>
            <w:noProof/>
            <w:webHidden/>
          </w:rPr>
        </w:r>
        <w:r>
          <w:rPr>
            <w:noProof/>
            <w:webHidden/>
          </w:rPr>
          <w:fldChar w:fldCharType="separate"/>
        </w:r>
        <w:r>
          <w:rPr>
            <w:noProof/>
            <w:webHidden/>
          </w:rPr>
          <w:t>21</w:t>
        </w:r>
        <w:r>
          <w:rPr>
            <w:noProof/>
            <w:webHidden/>
          </w:rPr>
          <w:fldChar w:fldCharType="end"/>
        </w:r>
      </w:hyperlink>
    </w:p>
    <w:p w14:paraId="1C2C441D" w14:textId="64CD6FF9" w:rsidR="00C8296E" w:rsidRDefault="00C8296E">
      <w:pPr>
        <w:pStyle w:val="TOC1"/>
        <w:tabs>
          <w:tab w:val="left" w:pos="400"/>
          <w:tab w:val="right" w:leader="underscore" w:pos="7928"/>
        </w:tabs>
        <w:rPr>
          <w:rFonts w:eastAsiaTheme="minorEastAsia" w:cstheme="minorBidi"/>
          <w:b w:val="0"/>
          <w:bCs w:val="0"/>
          <w:i w:val="0"/>
          <w:iCs w:val="0"/>
          <w:noProof/>
          <w:lang w:eastAsia="en-GB"/>
        </w:rPr>
      </w:pPr>
      <w:hyperlink w:anchor="_Toc61341289" w:history="1">
        <w:r w:rsidRPr="00A022C2">
          <w:rPr>
            <w:rStyle w:val="Hyperlink"/>
            <w:noProof/>
          </w:rPr>
          <w:t>8</w:t>
        </w:r>
        <w:r>
          <w:rPr>
            <w:rFonts w:eastAsiaTheme="minorEastAsia" w:cstheme="minorBidi"/>
            <w:b w:val="0"/>
            <w:bCs w:val="0"/>
            <w:i w:val="0"/>
            <w:iCs w:val="0"/>
            <w:noProof/>
            <w:lang w:eastAsia="en-GB"/>
          </w:rPr>
          <w:tab/>
        </w:r>
        <w:r w:rsidRPr="00A022C2">
          <w:rPr>
            <w:rStyle w:val="Hyperlink"/>
            <w:noProof/>
          </w:rPr>
          <w:t>DER expenditure</w:t>
        </w:r>
        <w:r>
          <w:rPr>
            <w:noProof/>
            <w:webHidden/>
          </w:rPr>
          <w:tab/>
        </w:r>
        <w:r>
          <w:rPr>
            <w:noProof/>
            <w:webHidden/>
          </w:rPr>
          <w:fldChar w:fldCharType="begin"/>
        </w:r>
        <w:r>
          <w:rPr>
            <w:noProof/>
            <w:webHidden/>
          </w:rPr>
          <w:instrText xml:space="preserve"> PAGEREF _Toc61341289 \h </w:instrText>
        </w:r>
        <w:r>
          <w:rPr>
            <w:noProof/>
            <w:webHidden/>
          </w:rPr>
        </w:r>
        <w:r>
          <w:rPr>
            <w:noProof/>
            <w:webHidden/>
          </w:rPr>
          <w:fldChar w:fldCharType="separate"/>
        </w:r>
        <w:r>
          <w:rPr>
            <w:noProof/>
            <w:webHidden/>
          </w:rPr>
          <w:t>21</w:t>
        </w:r>
        <w:r>
          <w:rPr>
            <w:noProof/>
            <w:webHidden/>
          </w:rPr>
          <w:fldChar w:fldCharType="end"/>
        </w:r>
      </w:hyperlink>
    </w:p>
    <w:p w14:paraId="693DD2D1" w14:textId="0510D213" w:rsidR="00C8296E" w:rsidRDefault="00C8296E">
      <w:pPr>
        <w:pStyle w:val="TOC2"/>
        <w:tabs>
          <w:tab w:val="right" w:leader="underscore" w:pos="7928"/>
        </w:tabs>
        <w:rPr>
          <w:rFonts w:eastAsiaTheme="minorEastAsia" w:cstheme="minorBidi"/>
          <w:b w:val="0"/>
          <w:bCs w:val="0"/>
          <w:noProof/>
          <w:sz w:val="24"/>
          <w:szCs w:val="24"/>
          <w:lang w:eastAsia="en-GB"/>
        </w:rPr>
      </w:pPr>
      <w:hyperlink w:anchor="_Toc61341290" w:history="1">
        <w:r w:rsidRPr="00A022C2">
          <w:rPr>
            <w:rStyle w:val="Hyperlink"/>
            <w:noProof/>
          </w:rPr>
          <w:t>CPPALUE DER expenditure</w:t>
        </w:r>
        <w:r>
          <w:rPr>
            <w:noProof/>
            <w:webHidden/>
          </w:rPr>
          <w:tab/>
        </w:r>
        <w:r>
          <w:rPr>
            <w:noProof/>
            <w:webHidden/>
          </w:rPr>
          <w:fldChar w:fldCharType="begin"/>
        </w:r>
        <w:r>
          <w:rPr>
            <w:noProof/>
            <w:webHidden/>
          </w:rPr>
          <w:instrText xml:space="preserve"> PAGEREF _Toc61341290 \h </w:instrText>
        </w:r>
        <w:r>
          <w:rPr>
            <w:noProof/>
            <w:webHidden/>
          </w:rPr>
        </w:r>
        <w:r>
          <w:rPr>
            <w:noProof/>
            <w:webHidden/>
          </w:rPr>
          <w:fldChar w:fldCharType="separate"/>
        </w:r>
        <w:r>
          <w:rPr>
            <w:noProof/>
            <w:webHidden/>
          </w:rPr>
          <w:t>21</w:t>
        </w:r>
        <w:r>
          <w:rPr>
            <w:noProof/>
            <w:webHidden/>
          </w:rPr>
          <w:fldChar w:fldCharType="end"/>
        </w:r>
      </w:hyperlink>
    </w:p>
    <w:p w14:paraId="03CD844E" w14:textId="7AD8C8D0" w:rsidR="00C8296E" w:rsidRDefault="00C8296E">
      <w:pPr>
        <w:pStyle w:val="TOC2"/>
        <w:tabs>
          <w:tab w:val="right" w:leader="underscore" w:pos="7928"/>
        </w:tabs>
        <w:rPr>
          <w:rFonts w:eastAsiaTheme="minorEastAsia" w:cstheme="minorBidi"/>
          <w:b w:val="0"/>
          <w:bCs w:val="0"/>
          <w:noProof/>
          <w:sz w:val="24"/>
          <w:szCs w:val="24"/>
          <w:lang w:eastAsia="en-GB"/>
        </w:rPr>
      </w:pPr>
      <w:hyperlink w:anchor="_Toc61341291" w:history="1">
        <w:r w:rsidRPr="00A022C2">
          <w:rPr>
            <w:rStyle w:val="Hyperlink"/>
            <w:noProof/>
          </w:rPr>
          <w:t>AusNet Services and Jemena DER expenditure</w:t>
        </w:r>
        <w:r>
          <w:rPr>
            <w:noProof/>
            <w:webHidden/>
          </w:rPr>
          <w:tab/>
        </w:r>
        <w:r>
          <w:rPr>
            <w:noProof/>
            <w:webHidden/>
          </w:rPr>
          <w:fldChar w:fldCharType="begin"/>
        </w:r>
        <w:r>
          <w:rPr>
            <w:noProof/>
            <w:webHidden/>
          </w:rPr>
          <w:instrText xml:space="preserve"> PAGEREF _Toc61341291 \h </w:instrText>
        </w:r>
        <w:r>
          <w:rPr>
            <w:noProof/>
            <w:webHidden/>
          </w:rPr>
        </w:r>
        <w:r>
          <w:rPr>
            <w:noProof/>
            <w:webHidden/>
          </w:rPr>
          <w:fldChar w:fldCharType="separate"/>
        </w:r>
        <w:r>
          <w:rPr>
            <w:noProof/>
            <w:webHidden/>
          </w:rPr>
          <w:t>22</w:t>
        </w:r>
        <w:r>
          <w:rPr>
            <w:noProof/>
            <w:webHidden/>
          </w:rPr>
          <w:fldChar w:fldCharType="end"/>
        </w:r>
      </w:hyperlink>
    </w:p>
    <w:p w14:paraId="7E5958C8" w14:textId="5593BBB6" w:rsidR="00C8296E" w:rsidRDefault="00C8296E">
      <w:pPr>
        <w:pStyle w:val="TOC2"/>
        <w:tabs>
          <w:tab w:val="right" w:leader="underscore" w:pos="7928"/>
        </w:tabs>
        <w:rPr>
          <w:rFonts w:eastAsiaTheme="minorEastAsia" w:cstheme="minorBidi"/>
          <w:b w:val="0"/>
          <w:bCs w:val="0"/>
          <w:noProof/>
          <w:sz w:val="24"/>
          <w:szCs w:val="24"/>
          <w:lang w:eastAsia="en-GB"/>
        </w:rPr>
      </w:pPr>
      <w:hyperlink w:anchor="_Toc61341292" w:history="1">
        <w:r w:rsidRPr="00A022C2">
          <w:rPr>
            <w:rStyle w:val="Hyperlink"/>
            <w:noProof/>
          </w:rPr>
          <w:t>Value of DER</w:t>
        </w:r>
        <w:r>
          <w:rPr>
            <w:noProof/>
            <w:webHidden/>
          </w:rPr>
          <w:tab/>
        </w:r>
        <w:r>
          <w:rPr>
            <w:noProof/>
            <w:webHidden/>
          </w:rPr>
          <w:fldChar w:fldCharType="begin"/>
        </w:r>
        <w:r>
          <w:rPr>
            <w:noProof/>
            <w:webHidden/>
          </w:rPr>
          <w:instrText xml:space="preserve"> PAGEREF _Toc61341292 \h </w:instrText>
        </w:r>
        <w:r>
          <w:rPr>
            <w:noProof/>
            <w:webHidden/>
          </w:rPr>
        </w:r>
        <w:r>
          <w:rPr>
            <w:noProof/>
            <w:webHidden/>
          </w:rPr>
          <w:fldChar w:fldCharType="separate"/>
        </w:r>
        <w:r>
          <w:rPr>
            <w:noProof/>
            <w:webHidden/>
          </w:rPr>
          <w:t>23</w:t>
        </w:r>
        <w:r>
          <w:rPr>
            <w:noProof/>
            <w:webHidden/>
          </w:rPr>
          <w:fldChar w:fldCharType="end"/>
        </w:r>
      </w:hyperlink>
    </w:p>
    <w:p w14:paraId="44AFF68E" w14:textId="3C4BBE7A" w:rsidR="00C8296E" w:rsidRDefault="00C8296E">
      <w:pPr>
        <w:pStyle w:val="TOC2"/>
        <w:tabs>
          <w:tab w:val="right" w:leader="underscore" w:pos="7928"/>
        </w:tabs>
        <w:rPr>
          <w:rFonts w:eastAsiaTheme="minorEastAsia" w:cstheme="minorBidi"/>
          <w:b w:val="0"/>
          <w:bCs w:val="0"/>
          <w:noProof/>
          <w:sz w:val="24"/>
          <w:szCs w:val="24"/>
          <w:lang w:eastAsia="en-GB"/>
        </w:rPr>
      </w:pPr>
      <w:hyperlink w:anchor="_Toc61341293" w:history="1">
        <w:r w:rsidRPr="00A022C2">
          <w:rPr>
            <w:rStyle w:val="Hyperlink"/>
            <w:noProof/>
          </w:rPr>
          <w:t>Consistent DER integration planning</w:t>
        </w:r>
        <w:r>
          <w:rPr>
            <w:noProof/>
            <w:webHidden/>
          </w:rPr>
          <w:tab/>
        </w:r>
        <w:r>
          <w:rPr>
            <w:noProof/>
            <w:webHidden/>
          </w:rPr>
          <w:fldChar w:fldCharType="begin"/>
        </w:r>
        <w:r>
          <w:rPr>
            <w:noProof/>
            <w:webHidden/>
          </w:rPr>
          <w:instrText xml:space="preserve"> PAGEREF _Toc61341293 \h </w:instrText>
        </w:r>
        <w:r>
          <w:rPr>
            <w:noProof/>
            <w:webHidden/>
          </w:rPr>
        </w:r>
        <w:r>
          <w:rPr>
            <w:noProof/>
            <w:webHidden/>
          </w:rPr>
          <w:fldChar w:fldCharType="separate"/>
        </w:r>
        <w:r>
          <w:rPr>
            <w:noProof/>
            <w:webHidden/>
          </w:rPr>
          <w:t>23</w:t>
        </w:r>
        <w:r>
          <w:rPr>
            <w:noProof/>
            <w:webHidden/>
          </w:rPr>
          <w:fldChar w:fldCharType="end"/>
        </w:r>
      </w:hyperlink>
    </w:p>
    <w:p w14:paraId="2D926FD7" w14:textId="1E670D53" w:rsidR="00C8296E" w:rsidRDefault="00C8296E">
      <w:pPr>
        <w:pStyle w:val="TOC2"/>
        <w:tabs>
          <w:tab w:val="right" w:leader="underscore" w:pos="7928"/>
        </w:tabs>
        <w:rPr>
          <w:rFonts w:eastAsiaTheme="minorEastAsia" w:cstheme="minorBidi"/>
          <w:b w:val="0"/>
          <w:bCs w:val="0"/>
          <w:noProof/>
          <w:sz w:val="24"/>
          <w:szCs w:val="24"/>
          <w:lang w:eastAsia="en-GB"/>
        </w:rPr>
      </w:pPr>
      <w:hyperlink w:anchor="_Toc61341294" w:history="1">
        <w:r w:rsidRPr="00A022C2">
          <w:rPr>
            <w:rStyle w:val="Hyperlink"/>
            <w:noProof/>
          </w:rPr>
          <w:t>Upgrades should be implemented within a comprehensive plan for a future network</w:t>
        </w:r>
        <w:r>
          <w:rPr>
            <w:noProof/>
            <w:webHidden/>
          </w:rPr>
          <w:tab/>
        </w:r>
        <w:r>
          <w:rPr>
            <w:noProof/>
            <w:webHidden/>
          </w:rPr>
          <w:fldChar w:fldCharType="begin"/>
        </w:r>
        <w:r>
          <w:rPr>
            <w:noProof/>
            <w:webHidden/>
          </w:rPr>
          <w:instrText xml:space="preserve"> PAGEREF _Toc61341294 \h </w:instrText>
        </w:r>
        <w:r>
          <w:rPr>
            <w:noProof/>
            <w:webHidden/>
          </w:rPr>
        </w:r>
        <w:r>
          <w:rPr>
            <w:noProof/>
            <w:webHidden/>
          </w:rPr>
          <w:fldChar w:fldCharType="separate"/>
        </w:r>
        <w:r>
          <w:rPr>
            <w:noProof/>
            <w:webHidden/>
          </w:rPr>
          <w:t>24</w:t>
        </w:r>
        <w:r>
          <w:rPr>
            <w:noProof/>
            <w:webHidden/>
          </w:rPr>
          <w:fldChar w:fldCharType="end"/>
        </w:r>
      </w:hyperlink>
    </w:p>
    <w:p w14:paraId="65D9652B" w14:textId="215C6241" w:rsidR="00C8296E" w:rsidRDefault="00C8296E">
      <w:pPr>
        <w:pStyle w:val="TOC2"/>
        <w:tabs>
          <w:tab w:val="right" w:leader="underscore" w:pos="7928"/>
        </w:tabs>
        <w:rPr>
          <w:rFonts w:eastAsiaTheme="minorEastAsia" w:cstheme="minorBidi"/>
          <w:b w:val="0"/>
          <w:bCs w:val="0"/>
          <w:noProof/>
          <w:sz w:val="24"/>
          <w:szCs w:val="24"/>
          <w:lang w:eastAsia="en-GB"/>
        </w:rPr>
      </w:pPr>
      <w:hyperlink w:anchor="_Toc61341295" w:history="1">
        <w:r w:rsidRPr="00A022C2">
          <w:rPr>
            <w:rStyle w:val="Hyperlink"/>
            <w:noProof/>
          </w:rPr>
          <w:t>Evaluation of DER spending</w:t>
        </w:r>
        <w:r>
          <w:rPr>
            <w:noProof/>
            <w:webHidden/>
          </w:rPr>
          <w:tab/>
        </w:r>
        <w:r>
          <w:rPr>
            <w:noProof/>
            <w:webHidden/>
          </w:rPr>
          <w:fldChar w:fldCharType="begin"/>
        </w:r>
        <w:r>
          <w:rPr>
            <w:noProof/>
            <w:webHidden/>
          </w:rPr>
          <w:instrText xml:space="preserve"> PAGEREF _Toc61341295 \h </w:instrText>
        </w:r>
        <w:r>
          <w:rPr>
            <w:noProof/>
            <w:webHidden/>
          </w:rPr>
        </w:r>
        <w:r>
          <w:rPr>
            <w:noProof/>
            <w:webHidden/>
          </w:rPr>
          <w:fldChar w:fldCharType="separate"/>
        </w:r>
        <w:r>
          <w:rPr>
            <w:noProof/>
            <w:webHidden/>
          </w:rPr>
          <w:t>25</w:t>
        </w:r>
        <w:r>
          <w:rPr>
            <w:noProof/>
            <w:webHidden/>
          </w:rPr>
          <w:fldChar w:fldCharType="end"/>
        </w:r>
      </w:hyperlink>
    </w:p>
    <w:p w14:paraId="600B0932" w14:textId="391BBB93" w:rsidR="00C8296E" w:rsidRDefault="00C8296E">
      <w:pPr>
        <w:pStyle w:val="TOC1"/>
        <w:tabs>
          <w:tab w:val="left" w:pos="400"/>
          <w:tab w:val="right" w:leader="underscore" w:pos="7928"/>
        </w:tabs>
        <w:rPr>
          <w:rFonts w:eastAsiaTheme="minorEastAsia" w:cstheme="minorBidi"/>
          <w:b w:val="0"/>
          <w:bCs w:val="0"/>
          <w:i w:val="0"/>
          <w:iCs w:val="0"/>
          <w:noProof/>
          <w:lang w:eastAsia="en-GB"/>
        </w:rPr>
      </w:pPr>
      <w:hyperlink w:anchor="_Toc61341296" w:history="1">
        <w:r w:rsidRPr="00A022C2">
          <w:rPr>
            <w:rStyle w:val="Hyperlink"/>
            <w:noProof/>
          </w:rPr>
          <w:t>9</w:t>
        </w:r>
        <w:r>
          <w:rPr>
            <w:rFonts w:eastAsiaTheme="minorEastAsia" w:cstheme="minorBidi"/>
            <w:b w:val="0"/>
            <w:bCs w:val="0"/>
            <w:i w:val="0"/>
            <w:iCs w:val="0"/>
            <w:noProof/>
            <w:lang w:eastAsia="en-GB"/>
          </w:rPr>
          <w:tab/>
        </w:r>
        <w:r w:rsidRPr="00A022C2">
          <w:rPr>
            <w:rStyle w:val="Hyperlink"/>
            <w:noProof/>
          </w:rPr>
          <w:t>Incentive Schemes</w:t>
        </w:r>
        <w:r>
          <w:rPr>
            <w:noProof/>
            <w:webHidden/>
          </w:rPr>
          <w:tab/>
        </w:r>
        <w:r>
          <w:rPr>
            <w:noProof/>
            <w:webHidden/>
          </w:rPr>
          <w:fldChar w:fldCharType="begin"/>
        </w:r>
        <w:r>
          <w:rPr>
            <w:noProof/>
            <w:webHidden/>
          </w:rPr>
          <w:instrText xml:space="preserve"> PAGEREF _Toc61341296 \h </w:instrText>
        </w:r>
        <w:r>
          <w:rPr>
            <w:noProof/>
            <w:webHidden/>
          </w:rPr>
        </w:r>
        <w:r>
          <w:rPr>
            <w:noProof/>
            <w:webHidden/>
          </w:rPr>
          <w:fldChar w:fldCharType="separate"/>
        </w:r>
        <w:r>
          <w:rPr>
            <w:noProof/>
            <w:webHidden/>
          </w:rPr>
          <w:t>25</w:t>
        </w:r>
        <w:r>
          <w:rPr>
            <w:noProof/>
            <w:webHidden/>
          </w:rPr>
          <w:fldChar w:fldCharType="end"/>
        </w:r>
      </w:hyperlink>
    </w:p>
    <w:p w14:paraId="226CB68E" w14:textId="7A0722B0" w:rsidR="00C8296E" w:rsidRDefault="00C8296E">
      <w:pPr>
        <w:pStyle w:val="TOC2"/>
        <w:tabs>
          <w:tab w:val="right" w:leader="underscore" w:pos="7928"/>
        </w:tabs>
        <w:rPr>
          <w:rFonts w:eastAsiaTheme="minorEastAsia" w:cstheme="minorBidi"/>
          <w:b w:val="0"/>
          <w:bCs w:val="0"/>
          <w:noProof/>
          <w:sz w:val="24"/>
          <w:szCs w:val="24"/>
          <w:lang w:eastAsia="en-GB"/>
        </w:rPr>
      </w:pPr>
      <w:hyperlink w:anchor="_Toc61341297" w:history="1">
        <w:r w:rsidRPr="00A022C2">
          <w:rPr>
            <w:rStyle w:val="Hyperlink"/>
            <w:noProof/>
          </w:rPr>
          <w:t>Customer Service Incentive Scheme</w:t>
        </w:r>
        <w:r>
          <w:rPr>
            <w:noProof/>
            <w:webHidden/>
          </w:rPr>
          <w:tab/>
        </w:r>
        <w:r>
          <w:rPr>
            <w:noProof/>
            <w:webHidden/>
          </w:rPr>
          <w:fldChar w:fldCharType="begin"/>
        </w:r>
        <w:r>
          <w:rPr>
            <w:noProof/>
            <w:webHidden/>
          </w:rPr>
          <w:instrText xml:space="preserve"> PAGEREF _Toc61341297 \h </w:instrText>
        </w:r>
        <w:r>
          <w:rPr>
            <w:noProof/>
            <w:webHidden/>
          </w:rPr>
        </w:r>
        <w:r>
          <w:rPr>
            <w:noProof/>
            <w:webHidden/>
          </w:rPr>
          <w:fldChar w:fldCharType="separate"/>
        </w:r>
        <w:r>
          <w:rPr>
            <w:noProof/>
            <w:webHidden/>
          </w:rPr>
          <w:t>25</w:t>
        </w:r>
        <w:r>
          <w:rPr>
            <w:noProof/>
            <w:webHidden/>
          </w:rPr>
          <w:fldChar w:fldCharType="end"/>
        </w:r>
      </w:hyperlink>
    </w:p>
    <w:p w14:paraId="3FA434EF" w14:textId="1B66A94C" w:rsidR="00C8296E" w:rsidRDefault="00C8296E">
      <w:pPr>
        <w:pStyle w:val="TOC2"/>
        <w:tabs>
          <w:tab w:val="right" w:leader="underscore" w:pos="7928"/>
        </w:tabs>
        <w:rPr>
          <w:rFonts w:eastAsiaTheme="minorEastAsia" w:cstheme="minorBidi"/>
          <w:b w:val="0"/>
          <w:bCs w:val="0"/>
          <w:noProof/>
          <w:sz w:val="24"/>
          <w:szCs w:val="24"/>
          <w:lang w:eastAsia="en-GB"/>
        </w:rPr>
      </w:pPr>
      <w:hyperlink w:anchor="_Toc61341298" w:history="1">
        <w:r w:rsidRPr="00A022C2">
          <w:rPr>
            <w:rStyle w:val="Hyperlink"/>
            <w:noProof/>
            <w:lang w:eastAsia="en-GB"/>
          </w:rPr>
          <w:t>Incentive scheme operation and review</w:t>
        </w:r>
        <w:r>
          <w:rPr>
            <w:noProof/>
            <w:webHidden/>
          </w:rPr>
          <w:tab/>
        </w:r>
        <w:r>
          <w:rPr>
            <w:noProof/>
            <w:webHidden/>
          </w:rPr>
          <w:fldChar w:fldCharType="begin"/>
        </w:r>
        <w:r>
          <w:rPr>
            <w:noProof/>
            <w:webHidden/>
          </w:rPr>
          <w:instrText xml:space="preserve"> PAGEREF _Toc61341298 \h </w:instrText>
        </w:r>
        <w:r>
          <w:rPr>
            <w:noProof/>
            <w:webHidden/>
          </w:rPr>
        </w:r>
        <w:r>
          <w:rPr>
            <w:noProof/>
            <w:webHidden/>
          </w:rPr>
          <w:fldChar w:fldCharType="separate"/>
        </w:r>
        <w:r>
          <w:rPr>
            <w:noProof/>
            <w:webHidden/>
          </w:rPr>
          <w:t>27</w:t>
        </w:r>
        <w:r>
          <w:rPr>
            <w:noProof/>
            <w:webHidden/>
          </w:rPr>
          <w:fldChar w:fldCharType="end"/>
        </w:r>
      </w:hyperlink>
    </w:p>
    <w:p w14:paraId="198F9C61" w14:textId="509BD571" w:rsidR="00C8296E" w:rsidRDefault="00C8296E">
      <w:pPr>
        <w:pStyle w:val="TOC1"/>
        <w:tabs>
          <w:tab w:val="left" w:pos="600"/>
          <w:tab w:val="right" w:leader="underscore" w:pos="7928"/>
        </w:tabs>
        <w:rPr>
          <w:rFonts w:eastAsiaTheme="minorEastAsia" w:cstheme="minorBidi"/>
          <w:b w:val="0"/>
          <w:bCs w:val="0"/>
          <w:i w:val="0"/>
          <w:iCs w:val="0"/>
          <w:noProof/>
          <w:lang w:eastAsia="en-GB"/>
        </w:rPr>
      </w:pPr>
      <w:hyperlink w:anchor="_Toc61341299" w:history="1">
        <w:r w:rsidRPr="00A022C2">
          <w:rPr>
            <w:rStyle w:val="Hyperlink"/>
            <w:noProof/>
          </w:rPr>
          <w:t>10</w:t>
        </w:r>
        <w:r>
          <w:rPr>
            <w:rFonts w:eastAsiaTheme="minorEastAsia" w:cstheme="minorBidi"/>
            <w:b w:val="0"/>
            <w:bCs w:val="0"/>
            <w:i w:val="0"/>
            <w:iCs w:val="0"/>
            <w:noProof/>
            <w:lang w:eastAsia="en-GB"/>
          </w:rPr>
          <w:tab/>
        </w:r>
        <w:r w:rsidRPr="00A022C2">
          <w:rPr>
            <w:rStyle w:val="Hyperlink"/>
            <w:noProof/>
          </w:rPr>
          <w:t>Depreciation</w:t>
        </w:r>
        <w:r>
          <w:rPr>
            <w:noProof/>
            <w:webHidden/>
          </w:rPr>
          <w:tab/>
        </w:r>
        <w:r>
          <w:rPr>
            <w:noProof/>
            <w:webHidden/>
          </w:rPr>
          <w:fldChar w:fldCharType="begin"/>
        </w:r>
        <w:r>
          <w:rPr>
            <w:noProof/>
            <w:webHidden/>
          </w:rPr>
          <w:instrText xml:space="preserve"> PAGEREF _Toc61341299 \h </w:instrText>
        </w:r>
        <w:r>
          <w:rPr>
            <w:noProof/>
            <w:webHidden/>
          </w:rPr>
        </w:r>
        <w:r>
          <w:rPr>
            <w:noProof/>
            <w:webHidden/>
          </w:rPr>
          <w:fldChar w:fldCharType="separate"/>
        </w:r>
        <w:r>
          <w:rPr>
            <w:noProof/>
            <w:webHidden/>
          </w:rPr>
          <w:t>27</w:t>
        </w:r>
        <w:r>
          <w:rPr>
            <w:noProof/>
            <w:webHidden/>
          </w:rPr>
          <w:fldChar w:fldCharType="end"/>
        </w:r>
      </w:hyperlink>
    </w:p>
    <w:p w14:paraId="356EE9C4" w14:textId="69D909FA" w:rsidR="00C8296E" w:rsidRDefault="00C8296E">
      <w:pPr>
        <w:pStyle w:val="TOC2"/>
        <w:tabs>
          <w:tab w:val="right" w:leader="underscore" w:pos="7928"/>
        </w:tabs>
        <w:rPr>
          <w:rFonts w:eastAsiaTheme="minorEastAsia" w:cstheme="minorBidi"/>
          <w:b w:val="0"/>
          <w:bCs w:val="0"/>
          <w:noProof/>
          <w:sz w:val="24"/>
          <w:szCs w:val="24"/>
          <w:lang w:eastAsia="en-GB"/>
        </w:rPr>
      </w:pPr>
      <w:hyperlink w:anchor="_Toc61341300" w:history="1">
        <w:r w:rsidRPr="00A022C2">
          <w:rPr>
            <w:rStyle w:val="Hyperlink"/>
            <w:noProof/>
          </w:rPr>
          <w:t>Consistency of asset life</w:t>
        </w:r>
        <w:r>
          <w:rPr>
            <w:noProof/>
            <w:webHidden/>
          </w:rPr>
          <w:tab/>
        </w:r>
        <w:r>
          <w:rPr>
            <w:noProof/>
            <w:webHidden/>
          </w:rPr>
          <w:fldChar w:fldCharType="begin"/>
        </w:r>
        <w:r>
          <w:rPr>
            <w:noProof/>
            <w:webHidden/>
          </w:rPr>
          <w:instrText xml:space="preserve"> PAGEREF _Toc61341300 \h </w:instrText>
        </w:r>
        <w:r>
          <w:rPr>
            <w:noProof/>
            <w:webHidden/>
          </w:rPr>
        </w:r>
        <w:r>
          <w:rPr>
            <w:noProof/>
            <w:webHidden/>
          </w:rPr>
          <w:fldChar w:fldCharType="separate"/>
        </w:r>
        <w:r>
          <w:rPr>
            <w:noProof/>
            <w:webHidden/>
          </w:rPr>
          <w:t>27</w:t>
        </w:r>
        <w:r>
          <w:rPr>
            <w:noProof/>
            <w:webHidden/>
          </w:rPr>
          <w:fldChar w:fldCharType="end"/>
        </w:r>
      </w:hyperlink>
    </w:p>
    <w:p w14:paraId="7B0AC457" w14:textId="37E8726E" w:rsidR="00C8296E" w:rsidRDefault="00C8296E">
      <w:pPr>
        <w:pStyle w:val="TOC2"/>
        <w:tabs>
          <w:tab w:val="right" w:leader="underscore" w:pos="7928"/>
        </w:tabs>
        <w:rPr>
          <w:rFonts w:eastAsiaTheme="minorEastAsia" w:cstheme="minorBidi"/>
          <w:b w:val="0"/>
          <w:bCs w:val="0"/>
          <w:noProof/>
          <w:sz w:val="24"/>
          <w:szCs w:val="24"/>
          <w:lang w:eastAsia="en-GB"/>
        </w:rPr>
      </w:pPr>
      <w:hyperlink w:anchor="_Toc61341301" w:history="1">
        <w:r w:rsidRPr="00A022C2">
          <w:rPr>
            <w:rStyle w:val="Hyperlink"/>
            <w:noProof/>
          </w:rPr>
          <w:t>Accelerated depreciation – AusNet Services</w:t>
        </w:r>
        <w:r>
          <w:rPr>
            <w:noProof/>
            <w:webHidden/>
          </w:rPr>
          <w:tab/>
        </w:r>
        <w:r>
          <w:rPr>
            <w:noProof/>
            <w:webHidden/>
          </w:rPr>
          <w:fldChar w:fldCharType="begin"/>
        </w:r>
        <w:r>
          <w:rPr>
            <w:noProof/>
            <w:webHidden/>
          </w:rPr>
          <w:instrText xml:space="preserve"> PAGEREF _Toc61341301 \h </w:instrText>
        </w:r>
        <w:r>
          <w:rPr>
            <w:noProof/>
            <w:webHidden/>
          </w:rPr>
        </w:r>
        <w:r>
          <w:rPr>
            <w:noProof/>
            <w:webHidden/>
          </w:rPr>
          <w:fldChar w:fldCharType="separate"/>
        </w:r>
        <w:r>
          <w:rPr>
            <w:noProof/>
            <w:webHidden/>
          </w:rPr>
          <w:t>27</w:t>
        </w:r>
        <w:r>
          <w:rPr>
            <w:noProof/>
            <w:webHidden/>
          </w:rPr>
          <w:fldChar w:fldCharType="end"/>
        </w:r>
      </w:hyperlink>
    </w:p>
    <w:p w14:paraId="671B2A06" w14:textId="6200EED7" w:rsidR="00C8296E" w:rsidRDefault="00C8296E">
      <w:pPr>
        <w:pStyle w:val="TOC1"/>
        <w:tabs>
          <w:tab w:val="left" w:pos="600"/>
          <w:tab w:val="right" w:leader="underscore" w:pos="7928"/>
        </w:tabs>
        <w:rPr>
          <w:rFonts w:eastAsiaTheme="minorEastAsia" w:cstheme="minorBidi"/>
          <w:b w:val="0"/>
          <w:bCs w:val="0"/>
          <w:i w:val="0"/>
          <w:iCs w:val="0"/>
          <w:noProof/>
          <w:lang w:eastAsia="en-GB"/>
        </w:rPr>
      </w:pPr>
      <w:hyperlink w:anchor="_Toc61341302" w:history="1">
        <w:r w:rsidRPr="00A022C2">
          <w:rPr>
            <w:rStyle w:val="Hyperlink"/>
            <w:noProof/>
          </w:rPr>
          <w:t>11</w:t>
        </w:r>
        <w:r>
          <w:rPr>
            <w:rFonts w:eastAsiaTheme="minorEastAsia" w:cstheme="minorBidi"/>
            <w:b w:val="0"/>
            <w:bCs w:val="0"/>
            <w:i w:val="0"/>
            <w:iCs w:val="0"/>
            <w:noProof/>
            <w:lang w:eastAsia="en-GB"/>
          </w:rPr>
          <w:tab/>
        </w:r>
        <w:r w:rsidRPr="00A022C2">
          <w:rPr>
            <w:rStyle w:val="Hyperlink"/>
            <w:noProof/>
          </w:rPr>
          <w:t>Pass through events</w:t>
        </w:r>
        <w:r>
          <w:rPr>
            <w:noProof/>
            <w:webHidden/>
          </w:rPr>
          <w:tab/>
        </w:r>
        <w:r>
          <w:rPr>
            <w:noProof/>
            <w:webHidden/>
          </w:rPr>
          <w:fldChar w:fldCharType="begin"/>
        </w:r>
        <w:r>
          <w:rPr>
            <w:noProof/>
            <w:webHidden/>
          </w:rPr>
          <w:instrText xml:space="preserve"> PAGEREF _Toc61341302 \h </w:instrText>
        </w:r>
        <w:r>
          <w:rPr>
            <w:noProof/>
            <w:webHidden/>
          </w:rPr>
        </w:r>
        <w:r>
          <w:rPr>
            <w:noProof/>
            <w:webHidden/>
          </w:rPr>
          <w:fldChar w:fldCharType="separate"/>
        </w:r>
        <w:r>
          <w:rPr>
            <w:noProof/>
            <w:webHidden/>
          </w:rPr>
          <w:t>28</w:t>
        </w:r>
        <w:r>
          <w:rPr>
            <w:noProof/>
            <w:webHidden/>
          </w:rPr>
          <w:fldChar w:fldCharType="end"/>
        </w:r>
      </w:hyperlink>
    </w:p>
    <w:p w14:paraId="18282217" w14:textId="6B1A1334" w:rsidR="00C8296E" w:rsidRDefault="00C8296E">
      <w:pPr>
        <w:pStyle w:val="TOC2"/>
        <w:tabs>
          <w:tab w:val="right" w:leader="underscore" w:pos="7928"/>
        </w:tabs>
        <w:rPr>
          <w:rFonts w:eastAsiaTheme="minorEastAsia" w:cstheme="minorBidi"/>
          <w:b w:val="0"/>
          <w:bCs w:val="0"/>
          <w:noProof/>
          <w:sz w:val="24"/>
          <w:szCs w:val="24"/>
          <w:lang w:eastAsia="en-GB"/>
        </w:rPr>
      </w:pPr>
      <w:hyperlink w:anchor="_Toc61341303" w:history="1">
        <w:r w:rsidRPr="00A022C2">
          <w:rPr>
            <w:rStyle w:val="Hyperlink"/>
            <w:noProof/>
          </w:rPr>
          <w:t>Environment Protection Authority Pass Through Events</w:t>
        </w:r>
        <w:r>
          <w:rPr>
            <w:noProof/>
            <w:webHidden/>
          </w:rPr>
          <w:tab/>
        </w:r>
        <w:r>
          <w:rPr>
            <w:noProof/>
            <w:webHidden/>
          </w:rPr>
          <w:fldChar w:fldCharType="begin"/>
        </w:r>
        <w:r>
          <w:rPr>
            <w:noProof/>
            <w:webHidden/>
          </w:rPr>
          <w:instrText xml:space="preserve"> PAGEREF _Toc61341303 \h </w:instrText>
        </w:r>
        <w:r>
          <w:rPr>
            <w:noProof/>
            <w:webHidden/>
          </w:rPr>
        </w:r>
        <w:r>
          <w:rPr>
            <w:noProof/>
            <w:webHidden/>
          </w:rPr>
          <w:fldChar w:fldCharType="separate"/>
        </w:r>
        <w:r>
          <w:rPr>
            <w:noProof/>
            <w:webHidden/>
          </w:rPr>
          <w:t>28</w:t>
        </w:r>
        <w:r>
          <w:rPr>
            <w:noProof/>
            <w:webHidden/>
          </w:rPr>
          <w:fldChar w:fldCharType="end"/>
        </w:r>
      </w:hyperlink>
    </w:p>
    <w:p w14:paraId="56B09423" w14:textId="73F304BF" w:rsidR="00C8296E" w:rsidRDefault="00C8296E">
      <w:pPr>
        <w:pStyle w:val="TOC1"/>
        <w:tabs>
          <w:tab w:val="left" w:pos="600"/>
          <w:tab w:val="right" w:leader="underscore" w:pos="7928"/>
        </w:tabs>
        <w:rPr>
          <w:rFonts w:eastAsiaTheme="minorEastAsia" w:cstheme="minorBidi"/>
          <w:b w:val="0"/>
          <w:bCs w:val="0"/>
          <w:i w:val="0"/>
          <w:iCs w:val="0"/>
          <w:noProof/>
          <w:lang w:eastAsia="en-GB"/>
        </w:rPr>
      </w:pPr>
      <w:hyperlink w:anchor="_Toc61341304" w:history="1">
        <w:r w:rsidRPr="00A022C2">
          <w:rPr>
            <w:rStyle w:val="Hyperlink"/>
            <w:noProof/>
          </w:rPr>
          <w:t>12</w:t>
        </w:r>
        <w:r>
          <w:rPr>
            <w:rFonts w:eastAsiaTheme="minorEastAsia" w:cstheme="minorBidi"/>
            <w:b w:val="0"/>
            <w:bCs w:val="0"/>
            <w:i w:val="0"/>
            <w:iCs w:val="0"/>
            <w:noProof/>
            <w:lang w:eastAsia="en-GB"/>
          </w:rPr>
          <w:tab/>
        </w:r>
        <w:r w:rsidRPr="00A022C2">
          <w:rPr>
            <w:rStyle w:val="Hyperlink"/>
            <w:noProof/>
          </w:rPr>
          <w:t>Tariff Structures</w:t>
        </w:r>
        <w:r>
          <w:rPr>
            <w:noProof/>
            <w:webHidden/>
          </w:rPr>
          <w:tab/>
        </w:r>
        <w:r>
          <w:rPr>
            <w:noProof/>
            <w:webHidden/>
          </w:rPr>
          <w:fldChar w:fldCharType="begin"/>
        </w:r>
        <w:r>
          <w:rPr>
            <w:noProof/>
            <w:webHidden/>
          </w:rPr>
          <w:instrText xml:space="preserve"> PAGEREF _Toc61341304 \h </w:instrText>
        </w:r>
        <w:r>
          <w:rPr>
            <w:noProof/>
            <w:webHidden/>
          </w:rPr>
        </w:r>
        <w:r>
          <w:rPr>
            <w:noProof/>
            <w:webHidden/>
          </w:rPr>
          <w:fldChar w:fldCharType="separate"/>
        </w:r>
        <w:r>
          <w:rPr>
            <w:noProof/>
            <w:webHidden/>
          </w:rPr>
          <w:t>29</w:t>
        </w:r>
        <w:r>
          <w:rPr>
            <w:noProof/>
            <w:webHidden/>
          </w:rPr>
          <w:fldChar w:fldCharType="end"/>
        </w:r>
      </w:hyperlink>
    </w:p>
    <w:p w14:paraId="4F2FDD01" w14:textId="4E928593" w:rsidR="00C8296E" w:rsidRDefault="00C8296E">
      <w:pPr>
        <w:pStyle w:val="TOC2"/>
        <w:tabs>
          <w:tab w:val="right" w:leader="underscore" w:pos="7928"/>
        </w:tabs>
        <w:rPr>
          <w:rFonts w:eastAsiaTheme="minorEastAsia" w:cstheme="minorBidi"/>
          <w:b w:val="0"/>
          <w:bCs w:val="0"/>
          <w:noProof/>
          <w:sz w:val="24"/>
          <w:szCs w:val="24"/>
          <w:lang w:eastAsia="en-GB"/>
        </w:rPr>
      </w:pPr>
      <w:hyperlink w:anchor="_Toc61341305" w:history="1">
        <w:r w:rsidRPr="00A022C2">
          <w:rPr>
            <w:rStyle w:val="Hyperlink"/>
            <w:noProof/>
          </w:rPr>
          <w:t>Time of Use Tariffs</w:t>
        </w:r>
        <w:r>
          <w:rPr>
            <w:noProof/>
            <w:webHidden/>
          </w:rPr>
          <w:tab/>
        </w:r>
        <w:r>
          <w:rPr>
            <w:noProof/>
            <w:webHidden/>
          </w:rPr>
          <w:fldChar w:fldCharType="begin"/>
        </w:r>
        <w:r>
          <w:rPr>
            <w:noProof/>
            <w:webHidden/>
          </w:rPr>
          <w:instrText xml:space="preserve"> PAGEREF _Toc61341305 \h </w:instrText>
        </w:r>
        <w:r>
          <w:rPr>
            <w:noProof/>
            <w:webHidden/>
          </w:rPr>
        </w:r>
        <w:r>
          <w:rPr>
            <w:noProof/>
            <w:webHidden/>
          </w:rPr>
          <w:fldChar w:fldCharType="separate"/>
        </w:r>
        <w:r>
          <w:rPr>
            <w:noProof/>
            <w:webHidden/>
          </w:rPr>
          <w:t>29</w:t>
        </w:r>
        <w:r>
          <w:rPr>
            <w:noProof/>
            <w:webHidden/>
          </w:rPr>
          <w:fldChar w:fldCharType="end"/>
        </w:r>
      </w:hyperlink>
    </w:p>
    <w:p w14:paraId="7A3E447B" w14:textId="44750CF9" w:rsidR="00C8296E" w:rsidRDefault="00C8296E">
      <w:pPr>
        <w:pStyle w:val="TOC2"/>
        <w:tabs>
          <w:tab w:val="right" w:leader="underscore" w:pos="7928"/>
        </w:tabs>
        <w:rPr>
          <w:rFonts w:eastAsiaTheme="minorEastAsia" w:cstheme="minorBidi"/>
          <w:b w:val="0"/>
          <w:bCs w:val="0"/>
          <w:noProof/>
          <w:sz w:val="24"/>
          <w:szCs w:val="24"/>
          <w:lang w:eastAsia="en-GB"/>
        </w:rPr>
      </w:pPr>
      <w:hyperlink w:anchor="_Toc61341306" w:history="1">
        <w:r w:rsidRPr="00A022C2">
          <w:rPr>
            <w:rStyle w:val="Hyperlink"/>
            <w:noProof/>
          </w:rPr>
          <w:t>Assignment for legacy TOU customers</w:t>
        </w:r>
        <w:r>
          <w:rPr>
            <w:noProof/>
            <w:webHidden/>
          </w:rPr>
          <w:tab/>
        </w:r>
        <w:r>
          <w:rPr>
            <w:noProof/>
            <w:webHidden/>
          </w:rPr>
          <w:fldChar w:fldCharType="begin"/>
        </w:r>
        <w:r>
          <w:rPr>
            <w:noProof/>
            <w:webHidden/>
          </w:rPr>
          <w:instrText xml:space="preserve"> PAGEREF _Toc61341306 \h </w:instrText>
        </w:r>
        <w:r>
          <w:rPr>
            <w:noProof/>
            <w:webHidden/>
          </w:rPr>
        </w:r>
        <w:r>
          <w:rPr>
            <w:noProof/>
            <w:webHidden/>
          </w:rPr>
          <w:fldChar w:fldCharType="separate"/>
        </w:r>
        <w:r>
          <w:rPr>
            <w:noProof/>
            <w:webHidden/>
          </w:rPr>
          <w:t>29</w:t>
        </w:r>
        <w:r>
          <w:rPr>
            <w:noProof/>
            <w:webHidden/>
          </w:rPr>
          <w:fldChar w:fldCharType="end"/>
        </w:r>
      </w:hyperlink>
    </w:p>
    <w:p w14:paraId="41D609B6" w14:textId="70987F81" w:rsidR="00C8296E" w:rsidRDefault="00C8296E">
      <w:pPr>
        <w:pStyle w:val="TOC2"/>
        <w:tabs>
          <w:tab w:val="right" w:leader="underscore" w:pos="7928"/>
        </w:tabs>
        <w:rPr>
          <w:rFonts w:eastAsiaTheme="minorEastAsia" w:cstheme="minorBidi"/>
          <w:b w:val="0"/>
          <w:bCs w:val="0"/>
          <w:noProof/>
          <w:sz w:val="24"/>
          <w:szCs w:val="24"/>
          <w:lang w:eastAsia="en-GB"/>
        </w:rPr>
      </w:pPr>
      <w:hyperlink w:anchor="_Toc61341307" w:history="1">
        <w:r w:rsidRPr="00A022C2">
          <w:rPr>
            <w:rStyle w:val="Hyperlink"/>
            <w:noProof/>
          </w:rPr>
          <w:t>Fixed tariff component</w:t>
        </w:r>
        <w:r>
          <w:rPr>
            <w:noProof/>
            <w:webHidden/>
          </w:rPr>
          <w:tab/>
        </w:r>
        <w:r>
          <w:rPr>
            <w:noProof/>
            <w:webHidden/>
          </w:rPr>
          <w:fldChar w:fldCharType="begin"/>
        </w:r>
        <w:r>
          <w:rPr>
            <w:noProof/>
            <w:webHidden/>
          </w:rPr>
          <w:instrText xml:space="preserve"> PAGEREF _Toc61341307 \h </w:instrText>
        </w:r>
        <w:r>
          <w:rPr>
            <w:noProof/>
            <w:webHidden/>
          </w:rPr>
        </w:r>
        <w:r>
          <w:rPr>
            <w:noProof/>
            <w:webHidden/>
          </w:rPr>
          <w:fldChar w:fldCharType="separate"/>
        </w:r>
        <w:r>
          <w:rPr>
            <w:noProof/>
            <w:webHidden/>
          </w:rPr>
          <w:t>29</w:t>
        </w:r>
        <w:r>
          <w:rPr>
            <w:noProof/>
            <w:webHidden/>
          </w:rPr>
          <w:fldChar w:fldCharType="end"/>
        </w:r>
      </w:hyperlink>
    </w:p>
    <w:p w14:paraId="4B3F5BAA" w14:textId="5296A7FB" w:rsidR="00C8296E" w:rsidRDefault="00C8296E">
      <w:pPr>
        <w:pStyle w:val="TOC2"/>
        <w:tabs>
          <w:tab w:val="right" w:leader="underscore" w:pos="7928"/>
        </w:tabs>
        <w:rPr>
          <w:rFonts w:eastAsiaTheme="minorEastAsia" w:cstheme="minorBidi"/>
          <w:b w:val="0"/>
          <w:bCs w:val="0"/>
          <w:noProof/>
          <w:sz w:val="24"/>
          <w:szCs w:val="24"/>
          <w:lang w:eastAsia="en-GB"/>
        </w:rPr>
      </w:pPr>
      <w:hyperlink w:anchor="_Toc61341308" w:history="1">
        <w:r w:rsidRPr="00A022C2">
          <w:rPr>
            <w:rStyle w:val="Hyperlink"/>
            <w:noProof/>
          </w:rPr>
          <w:t>Network-scale battery tariff</w:t>
        </w:r>
        <w:r>
          <w:rPr>
            <w:noProof/>
            <w:webHidden/>
          </w:rPr>
          <w:tab/>
        </w:r>
        <w:r>
          <w:rPr>
            <w:noProof/>
            <w:webHidden/>
          </w:rPr>
          <w:fldChar w:fldCharType="begin"/>
        </w:r>
        <w:r>
          <w:rPr>
            <w:noProof/>
            <w:webHidden/>
          </w:rPr>
          <w:instrText xml:space="preserve"> PAGEREF _Toc61341308 \h </w:instrText>
        </w:r>
        <w:r>
          <w:rPr>
            <w:noProof/>
            <w:webHidden/>
          </w:rPr>
        </w:r>
        <w:r>
          <w:rPr>
            <w:noProof/>
            <w:webHidden/>
          </w:rPr>
          <w:fldChar w:fldCharType="separate"/>
        </w:r>
        <w:r>
          <w:rPr>
            <w:noProof/>
            <w:webHidden/>
          </w:rPr>
          <w:t>30</w:t>
        </w:r>
        <w:r>
          <w:rPr>
            <w:noProof/>
            <w:webHidden/>
          </w:rPr>
          <w:fldChar w:fldCharType="end"/>
        </w:r>
      </w:hyperlink>
    </w:p>
    <w:p w14:paraId="58AC6CB6" w14:textId="0FAD022A" w:rsidR="00C8296E" w:rsidRDefault="00C8296E">
      <w:pPr>
        <w:pStyle w:val="TOC1"/>
        <w:tabs>
          <w:tab w:val="left" w:pos="600"/>
          <w:tab w:val="right" w:leader="underscore" w:pos="7928"/>
        </w:tabs>
        <w:rPr>
          <w:rFonts w:eastAsiaTheme="minorEastAsia" w:cstheme="minorBidi"/>
          <w:b w:val="0"/>
          <w:bCs w:val="0"/>
          <w:i w:val="0"/>
          <w:iCs w:val="0"/>
          <w:noProof/>
          <w:lang w:eastAsia="en-GB"/>
        </w:rPr>
      </w:pPr>
      <w:hyperlink w:anchor="_Toc61341309" w:history="1">
        <w:r w:rsidRPr="00A022C2">
          <w:rPr>
            <w:rStyle w:val="Hyperlink"/>
            <w:noProof/>
          </w:rPr>
          <w:t>13</w:t>
        </w:r>
        <w:r>
          <w:rPr>
            <w:rFonts w:eastAsiaTheme="minorEastAsia" w:cstheme="minorBidi"/>
            <w:b w:val="0"/>
            <w:bCs w:val="0"/>
            <w:i w:val="0"/>
            <w:iCs w:val="0"/>
            <w:noProof/>
            <w:lang w:eastAsia="en-GB"/>
          </w:rPr>
          <w:tab/>
        </w:r>
        <w:r w:rsidRPr="00A022C2">
          <w:rPr>
            <w:rStyle w:val="Hyperlink"/>
            <w:noProof/>
          </w:rPr>
          <w:t>References</w:t>
        </w:r>
        <w:r>
          <w:rPr>
            <w:noProof/>
            <w:webHidden/>
          </w:rPr>
          <w:tab/>
        </w:r>
        <w:r>
          <w:rPr>
            <w:noProof/>
            <w:webHidden/>
          </w:rPr>
          <w:fldChar w:fldCharType="begin"/>
        </w:r>
        <w:r>
          <w:rPr>
            <w:noProof/>
            <w:webHidden/>
          </w:rPr>
          <w:instrText xml:space="preserve"> PAGEREF _Toc61341309 \h </w:instrText>
        </w:r>
        <w:r>
          <w:rPr>
            <w:noProof/>
            <w:webHidden/>
          </w:rPr>
        </w:r>
        <w:r>
          <w:rPr>
            <w:noProof/>
            <w:webHidden/>
          </w:rPr>
          <w:fldChar w:fldCharType="separate"/>
        </w:r>
        <w:r>
          <w:rPr>
            <w:noProof/>
            <w:webHidden/>
          </w:rPr>
          <w:t>32</w:t>
        </w:r>
        <w:r>
          <w:rPr>
            <w:noProof/>
            <w:webHidden/>
          </w:rPr>
          <w:fldChar w:fldCharType="end"/>
        </w:r>
      </w:hyperlink>
    </w:p>
    <w:p w14:paraId="2906E57A" w14:textId="69D367CB" w:rsidR="00EE052F" w:rsidRPr="00390B8E" w:rsidRDefault="0078679C" w:rsidP="00B50571">
      <w:pPr>
        <w:pStyle w:val="BodytextRPC"/>
        <w:rPr>
          <w:rStyle w:val="Normal1"/>
          <w:color w:val="000000" w:themeColor="text1"/>
        </w:rPr>
      </w:pPr>
      <w:r w:rsidRPr="00390B8E">
        <w:rPr>
          <w:color w:val="000000" w:themeColor="text1"/>
        </w:rPr>
        <w:fldChar w:fldCharType="end"/>
      </w:r>
      <w:bookmarkStart w:id="1" w:name="_Toc22734687"/>
      <w:bookmarkStart w:id="2" w:name="_Toc22734688"/>
      <w:bookmarkStart w:id="3" w:name="_Toc22734689"/>
      <w:bookmarkStart w:id="4" w:name="_Toc22734690"/>
      <w:bookmarkStart w:id="5" w:name="_Toc22734691"/>
      <w:bookmarkStart w:id="6" w:name="OLE_LINK1"/>
      <w:bookmarkStart w:id="7" w:name="OLE_LINK2"/>
      <w:bookmarkEnd w:id="1"/>
      <w:bookmarkEnd w:id="2"/>
      <w:bookmarkEnd w:id="3"/>
      <w:bookmarkEnd w:id="4"/>
      <w:bookmarkEnd w:id="5"/>
    </w:p>
    <w:p w14:paraId="358CF430" w14:textId="132EAE4E" w:rsidR="003964C9" w:rsidRPr="00390B8E" w:rsidRDefault="003964C9" w:rsidP="00B50571">
      <w:pPr>
        <w:pStyle w:val="BodytextRPC"/>
        <w:rPr>
          <w:rStyle w:val="Normal1"/>
          <w:color w:val="000000" w:themeColor="text1"/>
        </w:rPr>
      </w:pPr>
    </w:p>
    <w:p w14:paraId="10F99DAD" w14:textId="00E19BD7" w:rsidR="00636BAB" w:rsidRPr="00390B8E" w:rsidRDefault="002C3D8E" w:rsidP="00B50571">
      <w:pPr>
        <w:pStyle w:val="BodytextRPC"/>
        <w:rPr>
          <w:rStyle w:val="Normal1"/>
          <w:color w:val="000000" w:themeColor="text1"/>
        </w:rPr>
      </w:pPr>
      <w:r w:rsidRPr="00390B8E">
        <w:rPr>
          <w:rStyle w:val="Normal1"/>
          <w:noProof/>
          <w:color w:val="000000" w:themeColor="text1"/>
        </w:rPr>
        <mc:AlternateContent>
          <mc:Choice Requires="wps">
            <w:drawing>
              <wp:anchor distT="0" distB="0" distL="114300" distR="114300" simplePos="0" relativeHeight="251658244" behindDoc="0" locked="0" layoutInCell="1" allowOverlap="1" wp14:anchorId="22A15F0A" wp14:editId="7E37B31A">
                <wp:simplePos x="0" y="0"/>
                <wp:positionH relativeFrom="margin">
                  <wp:posOffset>2162992</wp:posOffset>
                </wp:positionH>
                <wp:positionV relativeFrom="paragraph">
                  <wp:posOffset>331803</wp:posOffset>
                </wp:positionV>
                <wp:extent cx="2920001" cy="1394234"/>
                <wp:effectExtent l="0" t="0" r="1270" b="3175"/>
                <wp:wrapNone/>
                <wp:docPr id="11" name="Text Box 11"/>
                <wp:cNvGraphicFramePr/>
                <a:graphic xmlns:a="http://schemas.openxmlformats.org/drawingml/2006/main">
                  <a:graphicData uri="http://schemas.microsoft.com/office/word/2010/wordprocessingShape">
                    <wps:wsp>
                      <wps:cNvSpPr txBox="1"/>
                      <wps:spPr>
                        <a:xfrm>
                          <a:off x="0" y="0"/>
                          <a:ext cx="2920001" cy="1394234"/>
                        </a:xfrm>
                        <a:prstGeom prst="rect">
                          <a:avLst/>
                        </a:prstGeom>
                        <a:solidFill>
                          <a:schemeClr val="lt1"/>
                        </a:solidFill>
                        <a:ln w="6350">
                          <a:noFill/>
                        </a:ln>
                      </wps:spPr>
                      <wps:txbx>
                        <w:txbxContent>
                          <w:p w14:paraId="6CFE112B" w14:textId="77777777" w:rsidR="000655E0" w:rsidRPr="002C3D8E" w:rsidRDefault="000655E0" w:rsidP="00A464A5">
                            <w:pPr>
                              <w:rPr>
                                <w:rFonts w:asciiTheme="minorHAnsi" w:hAnsiTheme="minorHAnsi" w:cstheme="minorHAnsi"/>
                                <w:sz w:val="20"/>
                                <w:szCs w:val="20"/>
                              </w:rPr>
                            </w:pPr>
                            <w:r w:rsidRPr="002C3D8E">
                              <w:rPr>
                                <w:rFonts w:asciiTheme="minorHAnsi" w:hAnsiTheme="minorHAnsi" w:cstheme="minorHAnsi"/>
                                <w:sz w:val="20"/>
                                <w:szCs w:val="20"/>
                              </w:rPr>
                              <w:t xml:space="preserve">This project was funded by Energy Consumers Australia (www.energyconsumersaustralia.com.au) as part of its grants process for consumer advocacy projects and research projects for the benefit of consumers of electricity and natural gas. </w:t>
                            </w:r>
                          </w:p>
                          <w:p w14:paraId="3E507650" w14:textId="69E57DED" w:rsidR="000655E0" w:rsidRPr="002C3D8E" w:rsidRDefault="000655E0" w:rsidP="00A464A5">
                            <w:pPr>
                              <w:rPr>
                                <w:rFonts w:asciiTheme="minorHAnsi" w:hAnsiTheme="minorHAnsi" w:cstheme="minorHAnsi"/>
                                <w:sz w:val="20"/>
                                <w:szCs w:val="20"/>
                              </w:rPr>
                            </w:pPr>
                            <w:r w:rsidRPr="002C3D8E">
                              <w:rPr>
                                <w:rFonts w:asciiTheme="minorHAnsi" w:hAnsiTheme="minorHAnsi" w:cstheme="minorHAnsi"/>
                                <w:sz w:val="20"/>
                                <w:szCs w:val="20"/>
                              </w:rPr>
                              <w:t>The views expressed in this document do not necessarily reflect the views of Energy Consumers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A15F0A" id="_x0000_t202" coordsize="21600,21600" o:spt="202" path="m,l,21600r21600,l21600,xe">
                <v:stroke joinstyle="miter"/>
                <v:path gradientshapeok="t" o:connecttype="rect"/>
              </v:shapetype>
              <v:shape id="Text Box 11" o:spid="_x0000_s1026" type="#_x0000_t202" style="position:absolute;margin-left:170.3pt;margin-top:26.15pt;width:229.9pt;height:109.8pt;z-index:2516582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" fillcolor="white [3201]" stroked="f" strokeweight=".5pt">
                <v:textbox>
                  <w:txbxContent>
                    <w:p w14:paraId="6CFE112B" w14:textId="77777777" w:rsidR="000655E0" w:rsidRPr="002C3D8E" w:rsidRDefault="000655E0" w:rsidP="00A464A5">
                      <w:pPr>
                        <w:rPr>
                          <w:rFonts w:asciiTheme="minorHAnsi" w:hAnsiTheme="minorHAnsi" w:cstheme="minorHAnsi"/>
                          <w:sz w:val="20"/>
                          <w:szCs w:val="20"/>
                        </w:rPr>
                      </w:pPr>
                      <w:r w:rsidRPr="002C3D8E">
                        <w:rPr>
                          <w:rFonts w:asciiTheme="minorHAnsi" w:hAnsiTheme="minorHAnsi" w:cstheme="minorHAnsi"/>
                          <w:sz w:val="20"/>
                          <w:szCs w:val="20"/>
                        </w:rPr>
                        <w:t xml:space="preserve">This project was funded by Energy Consumers Australia (www.energyconsumersaustralia.com.au) as part of its grants process for consumer advocacy projects and research projects for the benefit of consumers of electricity and natural gas. </w:t>
                      </w:r>
                    </w:p>
                    <w:p w14:paraId="3E507650" w14:textId="69E57DED" w:rsidR="000655E0" w:rsidRPr="002C3D8E" w:rsidRDefault="000655E0" w:rsidP="00A464A5">
                      <w:pPr>
                        <w:rPr>
                          <w:rFonts w:asciiTheme="minorHAnsi" w:hAnsiTheme="minorHAnsi" w:cstheme="minorHAnsi"/>
                          <w:sz w:val="20"/>
                          <w:szCs w:val="20"/>
                        </w:rPr>
                      </w:pPr>
                      <w:r w:rsidRPr="002C3D8E">
                        <w:rPr>
                          <w:rFonts w:asciiTheme="minorHAnsi" w:hAnsiTheme="minorHAnsi" w:cstheme="minorHAnsi"/>
                          <w:sz w:val="20"/>
                          <w:szCs w:val="20"/>
                        </w:rPr>
                        <w:t>The views expressed in this document do not necessarily reflect the views of Energy Consumers Australia.</w:t>
                      </w:r>
                    </w:p>
                  </w:txbxContent>
                </v:textbox>
                <w10:wrap anchorx="margin"/>
              </v:shape>
            </w:pict>
          </mc:Fallback>
        </mc:AlternateContent>
      </w:r>
      <w:r w:rsidR="00636BAB" w:rsidRPr="00390B8E">
        <w:rPr>
          <w:rStyle w:val="Normal1"/>
          <w:noProof/>
          <w:color w:val="000000" w:themeColor="text1"/>
        </w:rPr>
        <w:drawing>
          <wp:anchor distT="0" distB="0" distL="114300" distR="114300" simplePos="0" relativeHeight="251658243" behindDoc="0" locked="0" layoutInCell="1" allowOverlap="1" wp14:anchorId="4710B09C" wp14:editId="30BE015C">
            <wp:simplePos x="0" y="0"/>
            <wp:positionH relativeFrom="column">
              <wp:posOffset>-51435</wp:posOffset>
            </wp:positionH>
            <wp:positionV relativeFrom="paragraph">
              <wp:posOffset>64120</wp:posOffset>
            </wp:positionV>
            <wp:extent cx="1912775" cy="1432735"/>
            <wp:effectExtent l="0" t="0" r="5080" b="2540"/>
            <wp:wrapNone/>
            <wp:docPr id="7" name="Picture 7" descr="A close up of a logo&#10;&#10;Description automatically generated">
              <a:extLst xmlns:a="http://schemas.openxmlformats.org/drawingml/2006/main">
                <a:ext uri="{FF2B5EF4-FFF2-40B4-BE49-F238E27FC236}">
                  <a16:creationId xmlns:a16="http://schemas.microsoft.com/office/drawing/2014/main" id="{37397E72-2D47-0A44-9F1B-FF167FF542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7397E72-2D47-0A44-9F1B-FF167FF5427E}"/>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912775" cy="1432735"/>
                    </a:xfrm>
                    <a:prstGeom prst="rect">
                      <a:avLst/>
                    </a:prstGeom>
                  </pic:spPr>
                </pic:pic>
              </a:graphicData>
            </a:graphic>
            <wp14:sizeRelH relativeFrom="page">
              <wp14:pctWidth>0</wp14:pctWidth>
            </wp14:sizeRelH>
            <wp14:sizeRelV relativeFrom="page">
              <wp14:pctHeight>0</wp14:pctHeight>
            </wp14:sizeRelV>
          </wp:anchor>
        </w:drawing>
      </w:r>
    </w:p>
    <w:p w14:paraId="79279028" w14:textId="7B80A2FC" w:rsidR="003B5A06" w:rsidRPr="00390B8E" w:rsidRDefault="003B5A06" w:rsidP="00B50571">
      <w:pPr>
        <w:pStyle w:val="BodytextRPC"/>
        <w:rPr>
          <w:rStyle w:val="Normal1"/>
          <w:color w:val="000000" w:themeColor="text1"/>
        </w:rPr>
        <w:sectPr w:rsidR="003B5A06" w:rsidRPr="00390B8E" w:rsidSect="003A7B02">
          <w:headerReference w:type="even" r:id="rId19"/>
          <w:headerReference w:type="default" r:id="rId20"/>
          <w:footerReference w:type="even" r:id="rId21"/>
          <w:footerReference w:type="default" r:id="rId22"/>
          <w:headerReference w:type="first" r:id="rId23"/>
          <w:footerReference w:type="first" r:id="rId24"/>
          <w:pgSz w:w="11907" w:h="16840" w:code="9"/>
          <w:pgMar w:top="1701" w:right="1701" w:bottom="1701" w:left="2268" w:header="1134" w:footer="1134" w:gutter="0"/>
          <w:cols w:space="708"/>
          <w:titlePg/>
          <w:docGrid w:linePitch="360"/>
        </w:sectPr>
      </w:pPr>
    </w:p>
    <w:p w14:paraId="3BD6A84B" w14:textId="398D2AA4" w:rsidR="00914DAD" w:rsidRPr="00390B8E" w:rsidRDefault="00CE5ED4" w:rsidP="00B50571">
      <w:pPr>
        <w:pStyle w:val="Heading1"/>
        <w:numPr>
          <w:ilvl w:val="0"/>
          <w:numId w:val="11"/>
        </w:numPr>
        <w:tabs>
          <w:tab w:val="left" w:pos="2694"/>
        </w:tabs>
      </w:pPr>
      <w:bookmarkStart w:id="8" w:name="_Toc61341263"/>
      <w:r w:rsidRPr="00390B8E">
        <w:lastRenderedPageBreak/>
        <w:t>Summary</w:t>
      </w:r>
      <w:r w:rsidR="000E0710" w:rsidRPr="00390B8E">
        <w:t xml:space="preserve"> of </w:t>
      </w:r>
      <w:r w:rsidR="00A16BCF" w:rsidRPr="00390B8E">
        <w:t>r</w:t>
      </w:r>
      <w:r w:rsidR="000E0710" w:rsidRPr="00390B8E">
        <w:t>ecommendations</w:t>
      </w:r>
      <w:bookmarkEnd w:id="8"/>
    </w:p>
    <w:p w14:paraId="3CAE1D80" w14:textId="39AA24D8" w:rsidR="000E0710" w:rsidRPr="00390B8E" w:rsidRDefault="000E0710" w:rsidP="00B50571">
      <w:pPr>
        <w:pStyle w:val="BodytextRPC"/>
        <w:rPr>
          <w:color w:val="000000" w:themeColor="text1"/>
        </w:rPr>
      </w:pPr>
      <w:r w:rsidRPr="00390B8E">
        <w:rPr>
          <w:color w:val="000000" w:themeColor="text1"/>
        </w:rPr>
        <w:t>Victorian community organisations</w:t>
      </w:r>
      <w:r w:rsidR="009336E1" w:rsidRPr="00390B8E">
        <w:rPr>
          <w:color w:val="000000" w:themeColor="text1"/>
        </w:rPr>
        <w:t xml:space="preserve"> (VCO)</w:t>
      </w:r>
      <w:r w:rsidRPr="00390B8E">
        <w:rPr>
          <w:color w:val="000000" w:themeColor="text1"/>
        </w:rPr>
        <w:t xml:space="preserve"> have prepared this joint submission to represent the interest of </w:t>
      </w:r>
      <w:r w:rsidR="00882FD0" w:rsidRPr="00390B8E">
        <w:rPr>
          <w:color w:val="000000" w:themeColor="text1"/>
        </w:rPr>
        <w:t>Victorian households</w:t>
      </w:r>
      <w:r w:rsidR="005156B7" w:rsidRPr="00390B8E">
        <w:rPr>
          <w:color w:val="000000" w:themeColor="text1"/>
        </w:rPr>
        <w:t xml:space="preserve"> and vulnerable </w:t>
      </w:r>
      <w:r w:rsidR="00882FD0" w:rsidRPr="00390B8E">
        <w:rPr>
          <w:color w:val="000000" w:themeColor="text1"/>
        </w:rPr>
        <w:t>consumers</w:t>
      </w:r>
      <w:r w:rsidR="005156B7" w:rsidRPr="00390B8E">
        <w:rPr>
          <w:color w:val="000000" w:themeColor="text1"/>
        </w:rPr>
        <w:t>,</w:t>
      </w:r>
      <w:r w:rsidRPr="00390B8E">
        <w:rPr>
          <w:color w:val="000000" w:themeColor="text1"/>
        </w:rPr>
        <w:t xml:space="preserve"> in the </w:t>
      </w:r>
      <w:r w:rsidR="00882FD0" w:rsidRPr="00390B8E">
        <w:rPr>
          <w:color w:val="000000" w:themeColor="text1"/>
        </w:rPr>
        <w:t>current Electricity Distribution Price Reset (EDPR)</w:t>
      </w:r>
      <w:r w:rsidRPr="00390B8E">
        <w:rPr>
          <w:color w:val="000000" w:themeColor="text1"/>
        </w:rPr>
        <w:t xml:space="preserve">, recognising the importance of distribution spending in maintaining an affordable and </w:t>
      </w:r>
      <w:r w:rsidR="003A13A5" w:rsidRPr="00390B8E">
        <w:rPr>
          <w:color w:val="000000" w:themeColor="text1"/>
        </w:rPr>
        <w:t>sustainable</w:t>
      </w:r>
      <w:r w:rsidR="00C72D3E" w:rsidRPr="00390B8E">
        <w:rPr>
          <w:color w:val="000000" w:themeColor="text1"/>
        </w:rPr>
        <w:t xml:space="preserve"> </w:t>
      </w:r>
      <w:r w:rsidRPr="00390B8E">
        <w:rPr>
          <w:color w:val="000000" w:themeColor="text1"/>
        </w:rPr>
        <w:t xml:space="preserve">electricity supply. </w:t>
      </w:r>
    </w:p>
    <w:p w14:paraId="3C36FCD9" w14:textId="77777777" w:rsidR="00C8296E" w:rsidRDefault="00907754" w:rsidP="00B50571">
      <w:pPr>
        <w:pStyle w:val="BodytextRPC"/>
        <w:rPr>
          <w:color w:val="000000" w:themeColor="text1"/>
        </w:rPr>
      </w:pPr>
      <w:r w:rsidRPr="00390B8E">
        <w:rPr>
          <w:color w:val="000000" w:themeColor="text1"/>
        </w:rPr>
        <w:t>Brotherhood of St Laurence</w:t>
      </w:r>
      <w:r w:rsidR="00DD2342">
        <w:rPr>
          <w:color w:val="000000" w:themeColor="text1"/>
        </w:rPr>
        <w:t xml:space="preserve">, </w:t>
      </w:r>
      <w:r w:rsidRPr="00390B8E">
        <w:rPr>
          <w:color w:val="000000" w:themeColor="text1"/>
        </w:rPr>
        <w:t>Renew</w:t>
      </w:r>
      <w:r w:rsidR="00DD2342">
        <w:rPr>
          <w:color w:val="000000" w:themeColor="text1"/>
        </w:rPr>
        <w:t xml:space="preserve"> and </w:t>
      </w:r>
      <w:r w:rsidR="00C8296E" w:rsidRPr="00C8296E">
        <w:rPr>
          <w:iCs/>
          <w:color w:val="000000" w:themeColor="text1"/>
        </w:rPr>
        <w:t>Victorian Council of Social Service</w:t>
      </w:r>
      <w:r w:rsidR="00745936" w:rsidRPr="00C8296E">
        <w:rPr>
          <w:iCs/>
          <w:color w:val="000000" w:themeColor="text1"/>
        </w:rPr>
        <w:t xml:space="preserve"> </w:t>
      </w:r>
      <w:r w:rsidRPr="00C8296E">
        <w:rPr>
          <w:iCs/>
          <w:color w:val="000000" w:themeColor="text1"/>
        </w:rPr>
        <w:t>are</w:t>
      </w:r>
      <w:r w:rsidRPr="00390B8E">
        <w:rPr>
          <w:color w:val="000000" w:themeColor="text1"/>
        </w:rPr>
        <w:t xml:space="preserve"> signatories to this submission. </w:t>
      </w:r>
    </w:p>
    <w:p w14:paraId="03D3D524" w14:textId="029C2B55" w:rsidR="00907754" w:rsidRPr="00390B8E" w:rsidRDefault="00FB2D00" w:rsidP="00B50571">
      <w:pPr>
        <w:pStyle w:val="BodytextRPC"/>
        <w:rPr>
          <w:color w:val="000000" w:themeColor="text1"/>
        </w:rPr>
      </w:pPr>
      <w:r w:rsidRPr="00390B8E">
        <w:rPr>
          <w:color w:val="000000" w:themeColor="text1"/>
        </w:rPr>
        <w:t xml:space="preserve">This follows a submission </w:t>
      </w:r>
      <w:r w:rsidR="00633A6F" w:rsidRPr="00390B8E">
        <w:rPr>
          <w:color w:val="000000" w:themeColor="text1"/>
        </w:rPr>
        <w:t xml:space="preserve">to the initial proposals </w:t>
      </w:r>
      <w:r w:rsidRPr="00390B8E">
        <w:rPr>
          <w:color w:val="000000" w:themeColor="text1"/>
        </w:rPr>
        <w:t>from a larger group of organisations</w:t>
      </w:r>
      <w:r w:rsidR="009336E1" w:rsidRPr="00390B8E">
        <w:rPr>
          <w:color w:val="000000" w:themeColor="text1"/>
        </w:rPr>
        <w:t>, who were unavailable to participate in this submission round due the process’ schedule through the holiday period.</w:t>
      </w:r>
    </w:p>
    <w:p w14:paraId="7EAE7C48" w14:textId="37A98CD2" w:rsidR="000E0710" w:rsidRPr="00390B8E" w:rsidRDefault="000E0710" w:rsidP="000E0710">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 xml:space="preserve">Our recommendations are informed by research undertaken through an Energy Consumers Australia (ECA)-funded project. Analysis was undertaken by </w:t>
      </w:r>
      <w:proofErr w:type="spellStart"/>
      <w:r w:rsidRPr="00390B8E">
        <w:rPr>
          <w:rFonts w:asciiTheme="minorHAnsi" w:hAnsiTheme="minorHAnsi" w:cstheme="minorHAnsi"/>
          <w:color w:val="000000" w:themeColor="text1"/>
        </w:rPr>
        <w:t>Headberry</w:t>
      </w:r>
      <w:proofErr w:type="spellEnd"/>
      <w:r w:rsidRPr="00390B8E">
        <w:rPr>
          <w:rFonts w:asciiTheme="minorHAnsi" w:hAnsiTheme="minorHAnsi" w:cstheme="minorHAnsi"/>
          <w:color w:val="000000" w:themeColor="text1"/>
        </w:rPr>
        <w:t xml:space="preserve"> Partners</w:t>
      </w:r>
      <w:r w:rsidR="009336E1" w:rsidRPr="00390B8E">
        <w:rPr>
          <w:rFonts w:asciiTheme="minorHAnsi" w:hAnsiTheme="minorHAnsi" w:cstheme="minorHAnsi"/>
          <w:color w:val="000000" w:themeColor="text1"/>
        </w:rPr>
        <w:t xml:space="preserve"> </w:t>
      </w:r>
      <w:r w:rsidRPr="00390B8E">
        <w:rPr>
          <w:rFonts w:asciiTheme="minorHAnsi" w:hAnsiTheme="minorHAnsi" w:cstheme="minorHAnsi"/>
          <w:color w:val="000000" w:themeColor="text1"/>
        </w:rPr>
        <w:t xml:space="preserve">– the detailed analysis informing this submission is included as the second </w:t>
      </w:r>
      <w:r w:rsidR="00EE288E" w:rsidRPr="00390B8E">
        <w:rPr>
          <w:rFonts w:asciiTheme="minorHAnsi" w:hAnsiTheme="minorHAnsi" w:cstheme="minorHAnsi"/>
          <w:color w:val="000000" w:themeColor="text1"/>
        </w:rPr>
        <w:t xml:space="preserve">part </w:t>
      </w:r>
      <w:r w:rsidRPr="00390B8E">
        <w:rPr>
          <w:rFonts w:asciiTheme="minorHAnsi" w:hAnsiTheme="minorHAnsi" w:cstheme="minorHAnsi"/>
          <w:color w:val="000000" w:themeColor="text1"/>
        </w:rPr>
        <w:t xml:space="preserve">of this </w:t>
      </w:r>
      <w:r w:rsidR="0099472D" w:rsidRPr="00390B8E">
        <w:rPr>
          <w:rFonts w:asciiTheme="minorHAnsi" w:hAnsiTheme="minorHAnsi" w:cstheme="minorHAnsi"/>
          <w:color w:val="000000" w:themeColor="text1"/>
        </w:rPr>
        <w:t>document</w:t>
      </w:r>
      <w:r w:rsidRPr="00390B8E">
        <w:rPr>
          <w:rFonts w:asciiTheme="minorHAnsi" w:hAnsiTheme="minorHAnsi" w:cstheme="minorHAnsi"/>
          <w:color w:val="000000" w:themeColor="text1"/>
        </w:rPr>
        <w:t>.</w:t>
      </w:r>
    </w:p>
    <w:p w14:paraId="78AEAD2E" w14:textId="3CD39CE9" w:rsidR="004D424F" w:rsidRPr="00390B8E" w:rsidRDefault="004D424F" w:rsidP="000E0710">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 xml:space="preserve">We’d like to thank the </w:t>
      </w:r>
      <w:r w:rsidR="00772365" w:rsidRPr="00390B8E">
        <w:rPr>
          <w:rFonts w:asciiTheme="minorHAnsi" w:hAnsiTheme="minorHAnsi" w:cstheme="minorHAnsi"/>
          <w:color w:val="000000" w:themeColor="text1"/>
        </w:rPr>
        <w:t>Australian Energy Regulator (</w:t>
      </w:r>
      <w:r w:rsidRPr="00390B8E">
        <w:rPr>
          <w:rFonts w:asciiTheme="minorHAnsi" w:hAnsiTheme="minorHAnsi" w:cstheme="minorHAnsi"/>
          <w:color w:val="000000" w:themeColor="text1"/>
        </w:rPr>
        <w:t>AER</w:t>
      </w:r>
      <w:r w:rsidR="00772365" w:rsidRPr="00390B8E">
        <w:rPr>
          <w:rFonts w:asciiTheme="minorHAnsi" w:hAnsiTheme="minorHAnsi" w:cstheme="minorHAnsi"/>
          <w:color w:val="000000" w:themeColor="text1"/>
        </w:rPr>
        <w:t>)</w:t>
      </w:r>
      <w:r w:rsidRPr="00390B8E">
        <w:rPr>
          <w:rFonts w:asciiTheme="minorHAnsi" w:hAnsiTheme="minorHAnsi" w:cstheme="minorHAnsi"/>
          <w:color w:val="000000" w:themeColor="text1"/>
        </w:rPr>
        <w:t xml:space="preserve"> for consulting directly with our project on particular issues – and to thank Jemena and the </w:t>
      </w:r>
      <w:r w:rsidR="00772365" w:rsidRPr="00390B8E">
        <w:rPr>
          <w:rFonts w:asciiTheme="minorHAnsi" w:hAnsiTheme="minorHAnsi" w:cstheme="minorHAnsi"/>
          <w:color w:val="000000" w:themeColor="text1"/>
        </w:rPr>
        <w:t>CitiPower/</w:t>
      </w:r>
      <w:proofErr w:type="spellStart"/>
      <w:r w:rsidR="00772365" w:rsidRPr="00390B8E">
        <w:rPr>
          <w:rFonts w:asciiTheme="minorHAnsi" w:hAnsiTheme="minorHAnsi" w:cstheme="minorHAnsi"/>
          <w:color w:val="000000" w:themeColor="text1"/>
        </w:rPr>
        <w:t>Powercor</w:t>
      </w:r>
      <w:proofErr w:type="spellEnd"/>
      <w:r w:rsidR="00772365" w:rsidRPr="00390B8E">
        <w:rPr>
          <w:rFonts w:asciiTheme="minorHAnsi" w:hAnsiTheme="minorHAnsi" w:cstheme="minorHAnsi"/>
          <w:color w:val="000000" w:themeColor="text1"/>
        </w:rPr>
        <w:t>/United Energy (</w:t>
      </w:r>
      <w:r w:rsidRPr="00390B8E">
        <w:rPr>
          <w:rFonts w:asciiTheme="minorHAnsi" w:hAnsiTheme="minorHAnsi" w:cstheme="minorHAnsi"/>
          <w:color w:val="000000" w:themeColor="text1"/>
        </w:rPr>
        <w:t>CPPALUE</w:t>
      </w:r>
      <w:r w:rsidR="00772365" w:rsidRPr="00390B8E">
        <w:rPr>
          <w:rFonts w:asciiTheme="minorHAnsi" w:hAnsiTheme="minorHAnsi" w:cstheme="minorHAnsi"/>
          <w:color w:val="000000" w:themeColor="text1"/>
        </w:rPr>
        <w:t>)</w:t>
      </w:r>
      <w:r w:rsidRPr="00390B8E">
        <w:rPr>
          <w:rFonts w:asciiTheme="minorHAnsi" w:hAnsiTheme="minorHAnsi" w:cstheme="minorHAnsi"/>
          <w:color w:val="000000" w:themeColor="text1"/>
        </w:rPr>
        <w:t xml:space="preserve"> networks for </w:t>
      </w:r>
      <w:r w:rsidR="00DB59E8" w:rsidRPr="00390B8E">
        <w:rPr>
          <w:rFonts w:asciiTheme="minorHAnsi" w:hAnsiTheme="minorHAnsi" w:cstheme="minorHAnsi"/>
          <w:color w:val="000000" w:themeColor="text1"/>
        </w:rPr>
        <w:t>being proactive in consulting</w:t>
      </w:r>
      <w:r w:rsidRPr="00390B8E">
        <w:rPr>
          <w:rFonts w:asciiTheme="minorHAnsi" w:hAnsiTheme="minorHAnsi" w:cstheme="minorHAnsi"/>
          <w:color w:val="000000" w:themeColor="text1"/>
        </w:rPr>
        <w:t xml:space="preserve"> with us directly </w:t>
      </w:r>
      <w:r w:rsidR="009336E1" w:rsidRPr="00390B8E">
        <w:rPr>
          <w:rFonts w:asciiTheme="minorHAnsi" w:hAnsiTheme="minorHAnsi" w:cstheme="minorHAnsi"/>
          <w:color w:val="000000" w:themeColor="text1"/>
        </w:rPr>
        <w:t>during the preparation of</w:t>
      </w:r>
      <w:r w:rsidRPr="00390B8E">
        <w:rPr>
          <w:rFonts w:asciiTheme="minorHAnsi" w:hAnsiTheme="minorHAnsi" w:cstheme="minorHAnsi"/>
          <w:color w:val="000000" w:themeColor="text1"/>
        </w:rPr>
        <w:t xml:space="preserve"> their revised proposals</w:t>
      </w:r>
      <w:r w:rsidR="00DB59E8" w:rsidRPr="00390B8E">
        <w:rPr>
          <w:rFonts w:asciiTheme="minorHAnsi" w:hAnsiTheme="minorHAnsi" w:cstheme="minorHAnsi"/>
          <w:color w:val="000000" w:themeColor="text1"/>
        </w:rPr>
        <w:t>.</w:t>
      </w:r>
    </w:p>
    <w:p w14:paraId="6CC12B0B" w14:textId="77777777" w:rsidR="00A464A5" w:rsidRPr="00390B8E" w:rsidRDefault="00C44E4B" w:rsidP="007860CC">
      <w:pPr>
        <w:pStyle w:val="BodytextRPC"/>
        <w:rPr>
          <w:b/>
          <w:bCs/>
          <w:color w:val="000000" w:themeColor="text1"/>
        </w:rPr>
      </w:pPr>
      <w:r w:rsidRPr="00390B8E">
        <w:rPr>
          <w:b/>
          <w:bCs/>
          <w:color w:val="000000" w:themeColor="text1"/>
        </w:rPr>
        <w:t>Recommendations</w:t>
      </w:r>
      <w:r w:rsidR="00A464A5" w:rsidRPr="00390B8E">
        <w:rPr>
          <w:b/>
          <w:bCs/>
          <w:color w:val="000000" w:themeColor="text1"/>
        </w:rPr>
        <w:t xml:space="preserve"> </w:t>
      </w:r>
    </w:p>
    <w:p w14:paraId="406BE081" w14:textId="3E91F2F8" w:rsidR="00745936" w:rsidRPr="00390B8E" w:rsidRDefault="00745936" w:rsidP="00A464A5">
      <w:pPr>
        <w:pStyle w:val="BodytextRPCbeforebullets"/>
        <w:numPr>
          <w:ilvl w:val="0"/>
          <w:numId w:val="12"/>
        </w:numPr>
        <w:ind w:left="426"/>
        <w:rPr>
          <w:b/>
          <w:bCs/>
          <w:color w:val="000000" w:themeColor="text1"/>
        </w:rPr>
      </w:pPr>
      <w:r w:rsidRPr="00390B8E">
        <w:rPr>
          <w:b/>
          <w:bCs/>
          <w:color w:val="000000" w:themeColor="text1"/>
        </w:rPr>
        <w:t xml:space="preserve">Many of the AER’s </w:t>
      </w:r>
      <w:r w:rsidR="00F14ACB" w:rsidRPr="00390B8E">
        <w:rPr>
          <w:b/>
          <w:bCs/>
          <w:color w:val="000000" w:themeColor="text1"/>
        </w:rPr>
        <w:t xml:space="preserve">draft findings directly address the concerns of community organisations, and should be </w:t>
      </w:r>
      <w:r w:rsidR="00165D20" w:rsidRPr="00390B8E">
        <w:rPr>
          <w:b/>
          <w:bCs/>
          <w:color w:val="000000" w:themeColor="text1"/>
        </w:rPr>
        <w:t>retained</w:t>
      </w:r>
      <w:r w:rsidR="00F14ACB" w:rsidRPr="00390B8E">
        <w:rPr>
          <w:b/>
          <w:bCs/>
          <w:color w:val="000000" w:themeColor="text1"/>
        </w:rPr>
        <w:t xml:space="preserve"> </w:t>
      </w:r>
      <w:r w:rsidR="00E47534" w:rsidRPr="00390B8E">
        <w:rPr>
          <w:b/>
          <w:bCs/>
          <w:color w:val="000000" w:themeColor="text1"/>
        </w:rPr>
        <w:t>for</w:t>
      </w:r>
      <w:r w:rsidR="00F14ACB" w:rsidRPr="00390B8E">
        <w:rPr>
          <w:b/>
          <w:bCs/>
          <w:color w:val="000000" w:themeColor="text1"/>
        </w:rPr>
        <w:t xml:space="preserve"> the final determination</w:t>
      </w:r>
      <w:r w:rsidR="003046B5" w:rsidRPr="00390B8E">
        <w:rPr>
          <w:b/>
          <w:bCs/>
          <w:color w:val="000000" w:themeColor="text1"/>
        </w:rPr>
        <w:t>.</w:t>
      </w:r>
    </w:p>
    <w:p w14:paraId="0A7F21F6" w14:textId="752B53A0" w:rsidR="00FB2D00" w:rsidRPr="00390B8E" w:rsidRDefault="00F14ACB" w:rsidP="00A63325">
      <w:pPr>
        <w:pStyle w:val="BodytextRPCbeforebullets"/>
        <w:ind w:left="426"/>
        <w:rPr>
          <w:color w:val="000000" w:themeColor="text1"/>
        </w:rPr>
      </w:pPr>
      <w:r w:rsidRPr="00390B8E">
        <w:rPr>
          <w:color w:val="000000" w:themeColor="text1"/>
        </w:rPr>
        <w:t xml:space="preserve">The AER’s determination </w:t>
      </w:r>
      <w:r w:rsidR="00165D20" w:rsidRPr="00390B8E">
        <w:rPr>
          <w:color w:val="000000" w:themeColor="text1"/>
        </w:rPr>
        <w:t>responded to</w:t>
      </w:r>
      <w:r w:rsidRPr="00390B8E">
        <w:rPr>
          <w:color w:val="000000" w:themeColor="text1"/>
        </w:rPr>
        <w:t xml:space="preserve"> concerns raised by Victorian Community Organisations and other stakeholders</w:t>
      </w:r>
      <w:r w:rsidR="005C1F7B" w:rsidRPr="00390B8E">
        <w:rPr>
          <w:color w:val="000000" w:themeColor="text1"/>
        </w:rPr>
        <w:t xml:space="preserve">, and </w:t>
      </w:r>
      <w:r w:rsidR="009D6832" w:rsidRPr="00390B8E">
        <w:rPr>
          <w:color w:val="000000" w:themeColor="text1"/>
        </w:rPr>
        <w:t>we support the majority of the decision</w:t>
      </w:r>
      <w:r w:rsidR="00DB59E8" w:rsidRPr="00390B8E">
        <w:rPr>
          <w:color w:val="000000" w:themeColor="text1"/>
        </w:rPr>
        <w:t>s</w:t>
      </w:r>
      <w:r w:rsidR="009D6832" w:rsidRPr="00390B8E">
        <w:rPr>
          <w:color w:val="000000" w:themeColor="text1"/>
        </w:rPr>
        <w:t xml:space="preserve"> made by the AER.</w:t>
      </w:r>
    </w:p>
    <w:p w14:paraId="59093C54" w14:textId="66BE0789" w:rsidR="00F14ACB" w:rsidRPr="00390B8E" w:rsidRDefault="00DC3F2B" w:rsidP="00483F02">
      <w:pPr>
        <w:pStyle w:val="BodytextRPCbeforebullets"/>
        <w:numPr>
          <w:ilvl w:val="0"/>
          <w:numId w:val="12"/>
        </w:numPr>
        <w:ind w:left="426"/>
        <w:rPr>
          <w:color w:val="000000" w:themeColor="text1"/>
        </w:rPr>
      </w:pPr>
      <w:r w:rsidRPr="00390B8E">
        <w:rPr>
          <w:b/>
          <w:bCs/>
          <w:color w:val="000000" w:themeColor="text1"/>
        </w:rPr>
        <w:t>Energy affordability remains critical for Victorian consumers</w:t>
      </w:r>
      <w:r w:rsidR="0098527B" w:rsidRPr="00390B8E">
        <w:rPr>
          <w:b/>
          <w:bCs/>
          <w:color w:val="000000" w:themeColor="text1"/>
        </w:rPr>
        <w:t xml:space="preserve">. </w:t>
      </w:r>
      <w:r w:rsidR="00CC38B1" w:rsidRPr="00390B8E">
        <w:rPr>
          <w:b/>
          <w:bCs/>
          <w:color w:val="000000" w:themeColor="text1"/>
        </w:rPr>
        <w:t>Following</w:t>
      </w:r>
      <w:r w:rsidR="00ED22FA" w:rsidRPr="00390B8E">
        <w:rPr>
          <w:b/>
          <w:bCs/>
          <w:color w:val="000000" w:themeColor="text1"/>
        </w:rPr>
        <w:t xml:space="preserve"> the </w:t>
      </w:r>
      <w:r w:rsidR="00CC38B1" w:rsidRPr="00390B8E">
        <w:rPr>
          <w:b/>
          <w:bCs/>
          <w:color w:val="000000" w:themeColor="text1"/>
        </w:rPr>
        <w:t xml:space="preserve">pandemic, achieving this priority will support those households and businesses facing increased hardship. </w:t>
      </w:r>
    </w:p>
    <w:p w14:paraId="15E74CC4" w14:textId="676A357F" w:rsidR="00FB04FA" w:rsidRPr="00390B8E" w:rsidRDefault="00FB04FA" w:rsidP="009D6832">
      <w:pPr>
        <w:pStyle w:val="BodytextRPCbeforebullets"/>
        <w:ind w:left="426"/>
        <w:rPr>
          <w:rFonts w:asciiTheme="minorHAnsi" w:hAnsiTheme="minorHAnsi" w:cstheme="minorHAnsi"/>
          <w:color w:val="000000" w:themeColor="text1"/>
        </w:rPr>
      </w:pPr>
      <w:r w:rsidRPr="00390B8E">
        <w:rPr>
          <w:rFonts w:asciiTheme="minorHAnsi" w:hAnsiTheme="minorHAnsi" w:cstheme="minorHAnsi"/>
          <w:color w:val="000000" w:themeColor="text1"/>
        </w:rPr>
        <w:t xml:space="preserve">A </w:t>
      </w:r>
      <w:r w:rsidR="000867F9" w:rsidRPr="00390B8E">
        <w:rPr>
          <w:rFonts w:asciiTheme="minorHAnsi" w:hAnsiTheme="minorHAnsi" w:cstheme="minorHAnsi"/>
          <w:color w:val="000000" w:themeColor="text1"/>
        </w:rPr>
        <w:t>2020</w:t>
      </w:r>
      <w:r w:rsidRPr="00390B8E">
        <w:rPr>
          <w:rFonts w:asciiTheme="minorHAnsi" w:hAnsiTheme="minorHAnsi" w:cstheme="minorHAnsi"/>
          <w:color w:val="000000" w:themeColor="text1"/>
        </w:rPr>
        <w:t xml:space="preserve"> analysis of calls </w:t>
      </w:r>
      <w:r w:rsidR="00EE7F6E" w:rsidRPr="00390B8E">
        <w:rPr>
          <w:rFonts w:asciiTheme="minorHAnsi" w:hAnsiTheme="minorHAnsi" w:cstheme="minorHAnsi"/>
          <w:color w:val="000000" w:themeColor="text1"/>
        </w:rPr>
        <w:t>to</w:t>
      </w:r>
      <w:r w:rsidRPr="00390B8E">
        <w:rPr>
          <w:rFonts w:asciiTheme="minorHAnsi" w:hAnsiTheme="minorHAnsi" w:cstheme="minorHAnsi"/>
          <w:color w:val="000000" w:themeColor="text1"/>
        </w:rPr>
        <w:t xml:space="preserve"> a Victorian debt helpline shows that energy bills remain a major source of household debt.</w:t>
      </w:r>
      <w:r w:rsidRPr="00390B8E">
        <w:rPr>
          <w:rStyle w:val="FootnoteReference"/>
          <w:rFonts w:cstheme="minorHAnsi"/>
          <w:color w:val="000000" w:themeColor="text1"/>
        </w:rPr>
        <w:footnoteReference w:id="2"/>
      </w:r>
      <w:r w:rsidRPr="00390B8E">
        <w:rPr>
          <w:rFonts w:asciiTheme="minorHAnsi" w:hAnsiTheme="minorHAnsi" w:cstheme="minorHAnsi"/>
          <w:color w:val="000000" w:themeColor="text1"/>
        </w:rPr>
        <w:t xml:space="preserve"> </w:t>
      </w:r>
      <w:r w:rsidR="00B10A04" w:rsidRPr="00390B8E">
        <w:rPr>
          <w:rFonts w:asciiTheme="minorHAnsi" w:hAnsiTheme="minorHAnsi" w:cstheme="minorHAnsi"/>
          <w:color w:val="000000" w:themeColor="text1"/>
        </w:rPr>
        <w:t xml:space="preserve">The networks’ Energy Relief Package, and supports like </w:t>
      </w:r>
      <w:proofErr w:type="spellStart"/>
      <w:r w:rsidR="00B10A04" w:rsidRPr="00390B8E">
        <w:rPr>
          <w:rFonts w:asciiTheme="minorHAnsi" w:hAnsiTheme="minorHAnsi" w:cstheme="minorHAnsi"/>
          <w:color w:val="000000" w:themeColor="text1"/>
        </w:rPr>
        <w:t>JobKeeper</w:t>
      </w:r>
      <w:proofErr w:type="spellEnd"/>
      <w:r w:rsidR="00B10A04" w:rsidRPr="00390B8E">
        <w:rPr>
          <w:rFonts w:asciiTheme="minorHAnsi" w:hAnsiTheme="minorHAnsi" w:cstheme="minorHAnsi"/>
          <w:color w:val="000000" w:themeColor="text1"/>
        </w:rPr>
        <w:t xml:space="preserve"> worked well to shield </w:t>
      </w:r>
      <w:r w:rsidR="00DB59E8" w:rsidRPr="00390B8E">
        <w:rPr>
          <w:rFonts w:asciiTheme="minorHAnsi" w:hAnsiTheme="minorHAnsi" w:cstheme="minorHAnsi"/>
          <w:color w:val="000000" w:themeColor="text1"/>
        </w:rPr>
        <w:t>Victorians</w:t>
      </w:r>
      <w:r w:rsidR="00B10A04" w:rsidRPr="00390B8E">
        <w:rPr>
          <w:rFonts w:asciiTheme="minorHAnsi" w:hAnsiTheme="minorHAnsi" w:cstheme="minorHAnsi"/>
          <w:color w:val="000000" w:themeColor="text1"/>
        </w:rPr>
        <w:t xml:space="preserve"> from the immediate disruptions of the COVID-19 pandemic</w:t>
      </w:r>
      <w:r w:rsidR="005507B0" w:rsidRPr="00390B8E">
        <w:rPr>
          <w:rFonts w:asciiTheme="minorHAnsi" w:hAnsiTheme="minorHAnsi" w:cstheme="minorHAnsi"/>
          <w:color w:val="000000" w:themeColor="text1"/>
        </w:rPr>
        <w:t>. H</w:t>
      </w:r>
      <w:r w:rsidR="000867F9" w:rsidRPr="00390B8E">
        <w:rPr>
          <w:rFonts w:asciiTheme="minorHAnsi" w:hAnsiTheme="minorHAnsi" w:cstheme="minorHAnsi"/>
          <w:color w:val="000000" w:themeColor="text1"/>
        </w:rPr>
        <w:t xml:space="preserve">owever </w:t>
      </w:r>
      <w:r w:rsidR="007A1CD5" w:rsidRPr="00390B8E">
        <w:rPr>
          <w:rFonts w:asciiTheme="minorHAnsi" w:hAnsiTheme="minorHAnsi" w:cstheme="minorHAnsi"/>
          <w:color w:val="000000" w:themeColor="text1"/>
        </w:rPr>
        <w:t xml:space="preserve">support agencies have identified </w:t>
      </w:r>
      <w:r w:rsidR="007A1CD5" w:rsidRPr="00390B8E">
        <w:rPr>
          <w:rFonts w:asciiTheme="minorHAnsi" w:hAnsiTheme="minorHAnsi" w:cstheme="minorHAnsi"/>
          <w:color w:val="000000" w:themeColor="text1"/>
        </w:rPr>
        <w:lastRenderedPageBreak/>
        <w:t>t</w:t>
      </w:r>
      <w:r w:rsidR="004E40B6" w:rsidRPr="00390B8E">
        <w:rPr>
          <w:rFonts w:asciiTheme="minorHAnsi" w:hAnsiTheme="minorHAnsi" w:cstheme="minorHAnsi"/>
          <w:color w:val="000000" w:themeColor="text1"/>
        </w:rPr>
        <w:t xml:space="preserve">hat many </w:t>
      </w:r>
      <w:r w:rsidR="00EE7F6E" w:rsidRPr="00390B8E">
        <w:rPr>
          <w:rFonts w:asciiTheme="minorHAnsi" w:hAnsiTheme="minorHAnsi" w:cstheme="minorHAnsi"/>
          <w:color w:val="000000" w:themeColor="text1"/>
        </w:rPr>
        <w:t>households</w:t>
      </w:r>
      <w:r w:rsidR="004E40B6" w:rsidRPr="00390B8E">
        <w:rPr>
          <w:rFonts w:asciiTheme="minorHAnsi" w:hAnsiTheme="minorHAnsi" w:cstheme="minorHAnsi"/>
          <w:color w:val="000000" w:themeColor="text1"/>
        </w:rPr>
        <w:t xml:space="preserve"> </w:t>
      </w:r>
      <w:r w:rsidR="00484D47" w:rsidRPr="00390B8E">
        <w:rPr>
          <w:rFonts w:asciiTheme="minorHAnsi" w:hAnsiTheme="minorHAnsi" w:cstheme="minorHAnsi"/>
          <w:color w:val="000000" w:themeColor="text1"/>
        </w:rPr>
        <w:t>anticipate</w:t>
      </w:r>
      <w:r w:rsidR="004E40B6" w:rsidRPr="00390B8E">
        <w:rPr>
          <w:rFonts w:asciiTheme="minorHAnsi" w:hAnsiTheme="minorHAnsi" w:cstheme="minorHAnsi"/>
          <w:color w:val="000000" w:themeColor="text1"/>
        </w:rPr>
        <w:t xml:space="preserve"> </w:t>
      </w:r>
      <w:r w:rsidR="00F56612" w:rsidRPr="00390B8E">
        <w:rPr>
          <w:rFonts w:asciiTheme="minorHAnsi" w:hAnsiTheme="minorHAnsi" w:cstheme="minorHAnsi"/>
          <w:color w:val="000000" w:themeColor="text1"/>
        </w:rPr>
        <w:t xml:space="preserve">future </w:t>
      </w:r>
      <w:r w:rsidR="004E40B6" w:rsidRPr="00390B8E">
        <w:rPr>
          <w:rFonts w:asciiTheme="minorHAnsi" w:hAnsiTheme="minorHAnsi" w:cstheme="minorHAnsi"/>
          <w:color w:val="000000" w:themeColor="text1"/>
        </w:rPr>
        <w:t xml:space="preserve">hardship as the temporary support measures are </w:t>
      </w:r>
      <w:r w:rsidR="00F56612" w:rsidRPr="00390B8E">
        <w:rPr>
          <w:rFonts w:asciiTheme="minorHAnsi" w:hAnsiTheme="minorHAnsi" w:cstheme="minorHAnsi"/>
          <w:color w:val="000000" w:themeColor="text1"/>
        </w:rPr>
        <w:t xml:space="preserve">progressively </w:t>
      </w:r>
      <w:r w:rsidR="004E40B6" w:rsidRPr="00390B8E">
        <w:rPr>
          <w:rFonts w:asciiTheme="minorHAnsi" w:hAnsiTheme="minorHAnsi" w:cstheme="minorHAnsi"/>
          <w:color w:val="000000" w:themeColor="text1"/>
        </w:rPr>
        <w:t>lifted.</w:t>
      </w:r>
      <w:r w:rsidR="00484D47" w:rsidRPr="00390B8E">
        <w:rPr>
          <w:rStyle w:val="FootnoteReference"/>
          <w:rFonts w:cstheme="minorHAnsi"/>
          <w:color w:val="000000" w:themeColor="text1"/>
        </w:rPr>
        <w:footnoteReference w:id="3"/>
      </w:r>
    </w:p>
    <w:p w14:paraId="3CF3473F" w14:textId="4E96F0B2" w:rsidR="004E40B6" w:rsidRPr="00390B8E" w:rsidRDefault="004E40B6" w:rsidP="009D6832">
      <w:pPr>
        <w:pStyle w:val="BodytextRPCbeforebullets"/>
        <w:ind w:left="426"/>
        <w:rPr>
          <w:rFonts w:asciiTheme="minorHAnsi" w:hAnsiTheme="minorHAnsi" w:cstheme="minorHAnsi"/>
          <w:color w:val="000000" w:themeColor="text1"/>
        </w:rPr>
      </w:pPr>
      <w:r w:rsidRPr="00390B8E">
        <w:rPr>
          <w:rFonts w:asciiTheme="minorHAnsi" w:hAnsiTheme="minorHAnsi" w:cstheme="minorHAnsi"/>
          <w:color w:val="000000" w:themeColor="text1"/>
        </w:rPr>
        <w:t xml:space="preserve">Some households and businesses </w:t>
      </w:r>
      <w:r w:rsidR="00DB59E8" w:rsidRPr="00390B8E">
        <w:rPr>
          <w:rFonts w:asciiTheme="minorHAnsi" w:hAnsiTheme="minorHAnsi" w:cstheme="minorHAnsi"/>
          <w:color w:val="000000" w:themeColor="text1"/>
        </w:rPr>
        <w:t>are</w:t>
      </w:r>
      <w:r w:rsidRPr="00390B8E">
        <w:rPr>
          <w:rFonts w:asciiTheme="minorHAnsi" w:hAnsiTheme="minorHAnsi" w:cstheme="minorHAnsi"/>
          <w:color w:val="000000" w:themeColor="text1"/>
        </w:rPr>
        <w:t xml:space="preserve"> hit particularly hard</w:t>
      </w:r>
      <w:r w:rsidR="00DB59E8" w:rsidRPr="00390B8E">
        <w:rPr>
          <w:rFonts w:asciiTheme="minorHAnsi" w:hAnsiTheme="minorHAnsi" w:cstheme="minorHAnsi"/>
          <w:color w:val="000000" w:themeColor="text1"/>
        </w:rPr>
        <w:t>.</w:t>
      </w:r>
      <w:r w:rsidRPr="00390B8E">
        <w:rPr>
          <w:rFonts w:asciiTheme="minorHAnsi" w:hAnsiTheme="minorHAnsi" w:cstheme="minorHAnsi"/>
          <w:color w:val="000000" w:themeColor="text1"/>
        </w:rPr>
        <w:t xml:space="preserve"> </w:t>
      </w:r>
      <w:r w:rsidR="00DB59E8" w:rsidRPr="00390B8E">
        <w:rPr>
          <w:rFonts w:asciiTheme="minorHAnsi" w:hAnsiTheme="minorHAnsi" w:cstheme="minorHAnsi"/>
          <w:color w:val="000000" w:themeColor="text1"/>
        </w:rPr>
        <w:t>Delivering</w:t>
      </w:r>
      <w:r w:rsidRPr="00390B8E">
        <w:rPr>
          <w:rFonts w:asciiTheme="minorHAnsi" w:hAnsiTheme="minorHAnsi" w:cstheme="minorHAnsi"/>
          <w:color w:val="000000" w:themeColor="text1"/>
        </w:rPr>
        <w:t xml:space="preserve"> affordable energy is an important way to support </w:t>
      </w:r>
      <w:r w:rsidR="00E01B6A" w:rsidRPr="00390B8E">
        <w:rPr>
          <w:rFonts w:asciiTheme="minorHAnsi" w:hAnsiTheme="minorHAnsi" w:cstheme="minorHAnsi"/>
          <w:color w:val="000000" w:themeColor="text1"/>
        </w:rPr>
        <w:t>vulnerable</w:t>
      </w:r>
      <w:r w:rsidRPr="00390B8E">
        <w:rPr>
          <w:rFonts w:asciiTheme="minorHAnsi" w:hAnsiTheme="minorHAnsi" w:cstheme="minorHAnsi"/>
          <w:color w:val="000000" w:themeColor="text1"/>
        </w:rPr>
        <w:t xml:space="preserve"> </w:t>
      </w:r>
      <w:r w:rsidR="00E01B6A" w:rsidRPr="00390B8E">
        <w:rPr>
          <w:rFonts w:asciiTheme="minorHAnsi" w:hAnsiTheme="minorHAnsi" w:cstheme="minorHAnsi"/>
          <w:color w:val="000000" w:themeColor="text1"/>
        </w:rPr>
        <w:t>households</w:t>
      </w:r>
      <w:r w:rsidRPr="00390B8E">
        <w:rPr>
          <w:rFonts w:asciiTheme="minorHAnsi" w:hAnsiTheme="minorHAnsi" w:cstheme="minorHAnsi"/>
          <w:color w:val="000000" w:themeColor="text1"/>
        </w:rPr>
        <w:t xml:space="preserve"> and </w:t>
      </w:r>
      <w:r w:rsidR="00E01B6A" w:rsidRPr="00390B8E">
        <w:rPr>
          <w:rFonts w:asciiTheme="minorHAnsi" w:hAnsiTheme="minorHAnsi" w:cstheme="minorHAnsi"/>
          <w:color w:val="000000" w:themeColor="text1"/>
        </w:rPr>
        <w:t xml:space="preserve">recovery for </w:t>
      </w:r>
      <w:r w:rsidRPr="00390B8E">
        <w:rPr>
          <w:rFonts w:asciiTheme="minorHAnsi" w:hAnsiTheme="minorHAnsi" w:cstheme="minorHAnsi"/>
          <w:color w:val="000000" w:themeColor="text1"/>
        </w:rPr>
        <w:t xml:space="preserve">the state as a whole. </w:t>
      </w:r>
    </w:p>
    <w:p w14:paraId="76DEBFE1" w14:textId="1E838D85" w:rsidR="001A7CFF" w:rsidRPr="00390B8E" w:rsidRDefault="0013660E" w:rsidP="001A7CFF">
      <w:pPr>
        <w:pStyle w:val="BodytextRPCbeforebullets"/>
        <w:numPr>
          <w:ilvl w:val="0"/>
          <w:numId w:val="12"/>
        </w:numPr>
        <w:ind w:left="426"/>
        <w:rPr>
          <w:color w:val="000000" w:themeColor="text1"/>
        </w:rPr>
      </w:pPr>
      <w:r w:rsidRPr="00390B8E">
        <w:rPr>
          <w:b/>
          <w:bCs/>
          <w:color w:val="000000" w:themeColor="text1"/>
        </w:rPr>
        <w:t>Fundamental cost</w:t>
      </w:r>
      <w:r w:rsidR="00F47638" w:rsidRPr="00390B8E">
        <w:rPr>
          <w:b/>
          <w:bCs/>
          <w:color w:val="000000" w:themeColor="text1"/>
        </w:rPr>
        <w:t xml:space="preserve"> reductions </w:t>
      </w:r>
      <w:r w:rsidRPr="00390B8E">
        <w:rPr>
          <w:b/>
          <w:bCs/>
          <w:color w:val="000000" w:themeColor="text1"/>
        </w:rPr>
        <w:t>are needed to secure affordability</w:t>
      </w:r>
      <w:r w:rsidR="00A61A1D" w:rsidRPr="00390B8E">
        <w:rPr>
          <w:b/>
          <w:bCs/>
          <w:color w:val="000000" w:themeColor="text1"/>
        </w:rPr>
        <w:t xml:space="preserve">, </w:t>
      </w:r>
      <w:r w:rsidR="003046B5" w:rsidRPr="00390B8E">
        <w:rPr>
          <w:b/>
          <w:bCs/>
          <w:color w:val="000000" w:themeColor="text1"/>
        </w:rPr>
        <w:t>rather than</w:t>
      </w:r>
      <w:r w:rsidR="00A61A1D" w:rsidRPr="00390B8E">
        <w:rPr>
          <w:b/>
          <w:bCs/>
          <w:color w:val="000000" w:themeColor="text1"/>
        </w:rPr>
        <w:t xml:space="preserve"> </w:t>
      </w:r>
      <w:r w:rsidR="00DB59E8" w:rsidRPr="00390B8E">
        <w:rPr>
          <w:b/>
          <w:bCs/>
          <w:color w:val="000000" w:themeColor="text1"/>
        </w:rPr>
        <w:t>a fall in</w:t>
      </w:r>
      <w:r w:rsidR="00A71BF6" w:rsidRPr="00390B8E">
        <w:rPr>
          <w:b/>
          <w:bCs/>
          <w:color w:val="000000" w:themeColor="text1"/>
        </w:rPr>
        <w:t xml:space="preserve"> revenue that</w:t>
      </w:r>
      <w:r w:rsidR="00DB59E8" w:rsidRPr="00390B8E">
        <w:rPr>
          <w:b/>
          <w:bCs/>
          <w:color w:val="000000" w:themeColor="text1"/>
        </w:rPr>
        <w:t xml:space="preserve"> depends on</w:t>
      </w:r>
      <w:r w:rsidR="003046B5" w:rsidRPr="00390B8E">
        <w:rPr>
          <w:b/>
          <w:bCs/>
          <w:color w:val="000000" w:themeColor="text1"/>
        </w:rPr>
        <w:t xml:space="preserve"> </w:t>
      </w:r>
      <w:r w:rsidR="00A61A1D" w:rsidRPr="00390B8E">
        <w:rPr>
          <w:b/>
          <w:bCs/>
          <w:color w:val="000000" w:themeColor="text1"/>
        </w:rPr>
        <w:t xml:space="preserve">the </w:t>
      </w:r>
      <w:r w:rsidR="002A2085" w:rsidRPr="00390B8E">
        <w:rPr>
          <w:b/>
          <w:bCs/>
          <w:color w:val="000000" w:themeColor="text1"/>
        </w:rPr>
        <w:t xml:space="preserve">current </w:t>
      </w:r>
      <w:r w:rsidR="00A61A1D" w:rsidRPr="00390B8E">
        <w:rPr>
          <w:b/>
          <w:bCs/>
          <w:color w:val="000000" w:themeColor="text1"/>
        </w:rPr>
        <w:t>low cost of capital</w:t>
      </w:r>
      <w:r w:rsidR="004B095E" w:rsidRPr="00390B8E">
        <w:rPr>
          <w:b/>
          <w:bCs/>
          <w:color w:val="000000" w:themeColor="text1"/>
        </w:rPr>
        <w:t>.</w:t>
      </w:r>
    </w:p>
    <w:p w14:paraId="0B026B65" w14:textId="37D8F16C" w:rsidR="001A7CFF" w:rsidRPr="00390B8E" w:rsidRDefault="00705009" w:rsidP="00B3566D">
      <w:pPr>
        <w:pStyle w:val="BodytextRPCbeforebullets"/>
        <w:ind w:left="426"/>
        <w:rPr>
          <w:color w:val="000000" w:themeColor="text1"/>
        </w:rPr>
      </w:pPr>
      <w:r w:rsidRPr="00390B8E">
        <w:rPr>
          <w:color w:val="000000" w:themeColor="text1"/>
        </w:rPr>
        <w:t>The AER’s Draft Determination</w:t>
      </w:r>
      <w:r w:rsidR="00A71BF6" w:rsidRPr="00390B8E">
        <w:rPr>
          <w:color w:val="000000" w:themeColor="text1"/>
        </w:rPr>
        <w:t xml:space="preserve"> has identified </w:t>
      </w:r>
      <w:r w:rsidR="00B3566D" w:rsidRPr="00390B8E">
        <w:rPr>
          <w:color w:val="000000" w:themeColor="text1"/>
        </w:rPr>
        <w:t xml:space="preserve">appropriate reductions in the distributors’ claims </w:t>
      </w:r>
      <w:r w:rsidR="00326EEB" w:rsidRPr="00390B8E">
        <w:rPr>
          <w:color w:val="000000" w:themeColor="text1"/>
        </w:rPr>
        <w:t xml:space="preserve">– however the </w:t>
      </w:r>
      <w:r w:rsidR="00B3566D" w:rsidRPr="00390B8E">
        <w:rPr>
          <w:color w:val="000000" w:themeColor="text1"/>
        </w:rPr>
        <w:t xml:space="preserve">Draft Determination’s nominated </w:t>
      </w:r>
      <w:r w:rsidR="00A71BF6" w:rsidRPr="00390B8E">
        <w:rPr>
          <w:color w:val="000000" w:themeColor="text1"/>
        </w:rPr>
        <w:t xml:space="preserve">revenue is still higher than </w:t>
      </w:r>
      <w:r w:rsidR="00B3566D" w:rsidRPr="00390B8E">
        <w:rPr>
          <w:color w:val="000000" w:themeColor="text1"/>
        </w:rPr>
        <w:t>that of the</w:t>
      </w:r>
      <w:r w:rsidR="00A71BF6" w:rsidRPr="00390B8E">
        <w:rPr>
          <w:color w:val="000000" w:themeColor="text1"/>
        </w:rPr>
        <w:t xml:space="preserve"> last period after</w:t>
      </w:r>
      <w:r w:rsidR="00326EEB" w:rsidRPr="00390B8E">
        <w:rPr>
          <w:color w:val="000000" w:themeColor="text1"/>
        </w:rPr>
        <w:t xml:space="preserve"> the impact of </w:t>
      </w:r>
      <w:r w:rsidR="00B3566D" w:rsidRPr="00390B8E">
        <w:rPr>
          <w:color w:val="000000" w:themeColor="text1"/>
        </w:rPr>
        <w:t>the current Weighted Cost of Capital (WACC)</w:t>
      </w:r>
      <w:r w:rsidR="00326EEB" w:rsidRPr="00390B8E">
        <w:rPr>
          <w:color w:val="000000" w:themeColor="text1"/>
        </w:rPr>
        <w:t xml:space="preserve"> </w:t>
      </w:r>
      <w:r w:rsidR="00B3566D" w:rsidRPr="00390B8E">
        <w:rPr>
          <w:color w:val="000000" w:themeColor="text1"/>
        </w:rPr>
        <w:t>is</w:t>
      </w:r>
      <w:r w:rsidR="00A71BF6" w:rsidRPr="00390B8E">
        <w:rPr>
          <w:color w:val="000000" w:themeColor="text1"/>
        </w:rPr>
        <w:t xml:space="preserve"> accounted for</w:t>
      </w:r>
      <w:r w:rsidR="00326EEB" w:rsidRPr="00390B8E">
        <w:rPr>
          <w:color w:val="000000" w:themeColor="text1"/>
        </w:rPr>
        <w:t xml:space="preserve">. Meaningful revenue reductions are </w:t>
      </w:r>
      <w:r w:rsidR="004B095E" w:rsidRPr="00390B8E">
        <w:rPr>
          <w:color w:val="000000" w:themeColor="text1"/>
        </w:rPr>
        <w:t>needed</w:t>
      </w:r>
      <w:r w:rsidR="00326EEB" w:rsidRPr="00390B8E">
        <w:rPr>
          <w:color w:val="000000" w:themeColor="text1"/>
        </w:rPr>
        <w:t xml:space="preserve"> to </w:t>
      </w:r>
      <w:r w:rsidR="004B095E" w:rsidRPr="00390B8E">
        <w:rPr>
          <w:color w:val="000000" w:themeColor="text1"/>
        </w:rPr>
        <w:t>secure</w:t>
      </w:r>
      <w:r w:rsidR="00326EEB" w:rsidRPr="00390B8E">
        <w:rPr>
          <w:color w:val="000000" w:themeColor="text1"/>
        </w:rPr>
        <w:t xml:space="preserve"> </w:t>
      </w:r>
      <w:r w:rsidR="004B095E" w:rsidRPr="00390B8E">
        <w:rPr>
          <w:color w:val="000000" w:themeColor="text1"/>
        </w:rPr>
        <w:t>affordability for consumers</w:t>
      </w:r>
      <w:r w:rsidR="00326EEB" w:rsidRPr="00390B8E">
        <w:rPr>
          <w:color w:val="000000" w:themeColor="text1"/>
        </w:rPr>
        <w:t xml:space="preserve"> over the next period</w:t>
      </w:r>
      <w:r w:rsidR="004B095E" w:rsidRPr="00390B8E">
        <w:rPr>
          <w:color w:val="000000" w:themeColor="text1"/>
        </w:rPr>
        <w:t xml:space="preserve"> and into the future. </w:t>
      </w:r>
    </w:p>
    <w:p w14:paraId="6CCA57E7" w14:textId="21D7BA87" w:rsidR="00A63325" w:rsidRPr="00390B8E" w:rsidRDefault="00A63325" w:rsidP="00A63325">
      <w:pPr>
        <w:pStyle w:val="BodytextRPCbeforebullets"/>
        <w:numPr>
          <w:ilvl w:val="0"/>
          <w:numId w:val="12"/>
        </w:numPr>
        <w:ind w:left="426"/>
        <w:rPr>
          <w:color w:val="000000" w:themeColor="text1"/>
        </w:rPr>
      </w:pPr>
      <w:r w:rsidRPr="00390B8E">
        <w:rPr>
          <w:b/>
          <w:bCs/>
          <w:color w:val="000000" w:themeColor="text1"/>
        </w:rPr>
        <w:t xml:space="preserve">The COVID-19 Pandemic will influence </w:t>
      </w:r>
      <w:r w:rsidR="005D559D" w:rsidRPr="00390B8E">
        <w:rPr>
          <w:b/>
          <w:bCs/>
          <w:color w:val="000000" w:themeColor="text1"/>
        </w:rPr>
        <w:t>connections, peak demand and economic forecasts, and will increase uncertainty. Accommodating a</w:t>
      </w:r>
      <w:r w:rsidR="0025591C" w:rsidRPr="00390B8E">
        <w:rPr>
          <w:b/>
          <w:bCs/>
          <w:color w:val="000000" w:themeColor="text1"/>
        </w:rPr>
        <w:t xml:space="preserve">n appropriately </w:t>
      </w:r>
      <w:r w:rsidR="005D559D" w:rsidRPr="00390B8E">
        <w:rPr>
          <w:b/>
          <w:bCs/>
          <w:color w:val="000000" w:themeColor="text1"/>
        </w:rPr>
        <w:t xml:space="preserve">conservative forecast </w:t>
      </w:r>
      <w:r w:rsidR="00870FE3" w:rsidRPr="00390B8E">
        <w:rPr>
          <w:b/>
          <w:bCs/>
          <w:color w:val="000000" w:themeColor="text1"/>
        </w:rPr>
        <w:t>will</w:t>
      </w:r>
      <w:r w:rsidR="005D559D" w:rsidRPr="00390B8E">
        <w:rPr>
          <w:b/>
          <w:bCs/>
          <w:color w:val="000000" w:themeColor="text1"/>
        </w:rPr>
        <w:t xml:space="preserve"> support Victorians through the recovery. </w:t>
      </w:r>
      <w:r w:rsidRPr="00390B8E">
        <w:rPr>
          <w:b/>
          <w:bCs/>
          <w:color w:val="000000" w:themeColor="text1"/>
        </w:rPr>
        <w:t xml:space="preserve"> </w:t>
      </w:r>
    </w:p>
    <w:p w14:paraId="12864C33" w14:textId="62807598" w:rsidR="00E01B6A" w:rsidRPr="00390B8E" w:rsidRDefault="005D559D" w:rsidP="0025591C">
      <w:pPr>
        <w:pStyle w:val="BodytextRPCbeforebullets"/>
        <w:ind w:left="426"/>
        <w:rPr>
          <w:rFonts w:asciiTheme="minorHAnsi" w:hAnsiTheme="minorHAnsi" w:cstheme="minorHAnsi"/>
          <w:color w:val="000000" w:themeColor="text1"/>
        </w:rPr>
      </w:pPr>
      <w:r w:rsidRPr="00390B8E">
        <w:rPr>
          <w:rFonts w:asciiTheme="minorHAnsi" w:hAnsiTheme="minorHAnsi" w:cstheme="minorHAnsi"/>
          <w:color w:val="000000" w:themeColor="text1"/>
        </w:rPr>
        <w:t xml:space="preserve">The VCO support the </w:t>
      </w:r>
      <w:r w:rsidR="00FF0224" w:rsidRPr="00390B8E">
        <w:rPr>
          <w:rFonts w:asciiTheme="minorHAnsi" w:hAnsiTheme="minorHAnsi" w:cstheme="minorHAnsi"/>
          <w:color w:val="000000" w:themeColor="text1"/>
        </w:rPr>
        <w:t>AER’s approach to apply</w:t>
      </w:r>
      <w:r w:rsidR="00E01B6A" w:rsidRPr="00390B8E">
        <w:rPr>
          <w:rFonts w:asciiTheme="minorHAnsi" w:hAnsiTheme="minorHAnsi" w:cstheme="minorHAnsi"/>
          <w:color w:val="000000" w:themeColor="text1"/>
        </w:rPr>
        <w:t xml:space="preserve"> </w:t>
      </w:r>
      <w:proofErr w:type="gramStart"/>
      <w:r w:rsidR="00E01B6A" w:rsidRPr="00390B8E">
        <w:rPr>
          <w:rFonts w:asciiTheme="minorHAnsi" w:hAnsiTheme="minorHAnsi" w:cstheme="minorHAnsi"/>
          <w:color w:val="000000" w:themeColor="text1"/>
        </w:rPr>
        <w:t>up-to-date</w:t>
      </w:r>
      <w:proofErr w:type="gramEnd"/>
      <w:r w:rsidR="00FF0224" w:rsidRPr="00390B8E">
        <w:rPr>
          <w:rFonts w:asciiTheme="minorHAnsi" w:hAnsiTheme="minorHAnsi" w:cstheme="minorHAnsi"/>
          <w:color w:val="000000" w:themeColor="text1"/>
        </w:rPr>
        <w:t xml:space="preserve"> AEMO forecasts to demand growth</w:t>
      </w:r>
      <w:r w:rsidR="0025591C" w:rsidRPr="00390B8E">
        <w:rPr>
          <w:rFonts w:asciiTheme="minorHAnsi" w:hAnsiTheme="minorHAnsi" w:cstheme="minorHAnsi"/>
          <w:color w:val="000000" w:themeColor="text1"/>
        </w:rPr>
        <w:t>.</w:t>
      </w:r>
    </w:p>
    <w:p w14:paraId="5E39DC6E" w14:textId="36D76914" w:rsidR="00A63325" w:rsidRPr="00390B8E" w:rsidRDefault="0025591C" w:rsidP="0025591C">
      <w:pPr>
        <w:pStyle w:val="BodytextRPCbeforebullets"/>
        <w:ind w:left="426"/>
        <w:rPr>
          <w:rFonts w:asciiTheme="minorHAnsi" w:hAnsiTheme="minorHAnsi" w:cstheme="minorHAnsi"/>
          <w:color w:val="000000" w:themeColor="text1"/>
        </w:rPr>
      </w:pPr>
      <w:r w:rsidRPr="00390B8E">
        <w:rPr>
          <w:rFonts w:asciiTheme="minorHAnsi" w:hAnsiTheme="minorHAnsi" w:cstheme="minorHAnsi"/>
          <w:color w:val="000000" w:themeColor="text1"/>
        </w:rPr>
        <w:t xml:space="preserve">The recovery of the Victorian population will depend on international as well as local factors – conservative planning will allow distributors to </w:t>
      </w:r>
      <w:r w:rsidR="00AD4018" w:rsidRPr="00390B8E">
        <w:rPr>
          <w:rFonts w:asciiTheme="minorHAnsi" w:hAnsiTheme="minorHAnsi" w:cstheme="minorHAnsi"/>
          <w:color w:val="000000" w:themeColor="text1"/>
        </w:rPr>
        <w:t>respond</w:t>
      </w:r>
      <w:r w:rsidRPr="00390B8E">
        <w:rPr>
          <w:rFonts w:asciiTheme="minorHAnsi" w:hAnsiTheme="minorHAnsi" w:cstheme="minorHAnsi"/>
          <w:color w:val="000000" w:themeColor="text1"/>
        </w:rPr>
        <w:t xml:space="preserve"> efficiently </w:t>
      </w:r>
      <w:r w:rsidR="00AD4018" w:rsidRPr="00390B8E">
        <w:rPr>
          <w:rFonts w:asciiTheme="minorHAnsi" w:hAnsiTheme="minorHAnsi" w:cstheme="minorHAnsi"/>
          <w:color w:val="000000" w:themeColor="text1"/>
        </w:rPr>
        <w:t xml:space="preserve">to </w:t>
      </w:r>
      <w:r w:rsidRPr="00390B8E">
        <w:rPr>
          <w:rFonts w:asciiTheme="minorHAnsi" w:hAnsiTheme="minorHAnsi" w:cstheme="minorHAnsi"/>
          <w:color w:val="000000" w:themeColor="text1"/>
        </w:rPr>
        <w:t xml:space="preserve">any </w:t>
      </w:r>
      <w:proofErr w:type="gramStart"/>
      <w:r w:rsidRPr="00390B8E">
        <w:rPr>
          <w:rFonts w:asciiTheme="minorHAnsi" w:hAnsiTheme="minorHAnsi" w:cstheme="minorHAnsi"/>
          <w:color w:val="000000" w:themeColor="text1"/>
        </w:rPr>
        <w:t>long term</w:t>
      </w:r>
      <w:proofErr w:type="gramEnd"/>
      <w:r w:rsidRPr="00390B8E">
        <w:rPr>
          <w:rFonts w:asciiTheme="minorHAnsi" w:hAnsiTheme="minorHAnsi" w:cstheme="minorHAnsi"/>
          <w:color w:val="000000" w:themeColor="text1"/>
        </w:rPr>
        <w:t xml:space="preserve"> </w:t>
      </w:r>
      <w:r w:rsidR="004B095E" w:rsidRPr="00390B8E">
        <w:rPr>
          <w:rFonts w:asciiTheme="minorHAnsi" w:hAnsiTheme="minorHAnsi" w:cstheme="minorHAnsi"/>
          <w:color w:val="000000" w:themeColor="text1"/>
        </w:rPr>
        <w:t>trends to emerge from</w:t>
      </w:r>
      <w:r w:rsidRPr="00390B8E">
        <w:rPr>
          <w:rFonts w:asciiTheme="minorHAnsi" w:hAnsiTheme="minorHAnsi" w:cstheme="minorHAnsi"/>
          <w:color w:val="000000" w:themeColor="text1"/>
        </w:rPr>
        <w:t xml:space="preserve"> the pandemic. </w:t>
      </w:r>
    </w:p>
    <w:p w14:paraId="18C70AE6" w14:textId="2BE525EA" w:rsidR="0025591C" w:rsidRPr="00390B8E" w:rsidRDefault="0085275C" w:rsidP="0025591C">
      <w:pPr>
        <w:pStyle w:val="BodytextRPCbeforebullets"/>
        <w:numPr>
          <w:ilvl w:val="0"/>
          <w:numId w:val="12"/>
        </w:numPr>
        <w:ind w:left="426"/>
        <w:rPr>
          <w:color w:val="000000" w:themeColor="text1"/>
        </w:rPr>
      </w:pPr>
      <w:r w:rsidRPr="00390B8E">
        <w:rPr>
          <w:b/>
          <w:bCs/>
          <w:color w:val="000000" w:themeColor="text1"/>
        </w:rPr>
        <w:t xml:space="preserve">The results of customer engagement should inform rather than determine regulatory decisions. </w:t>
      </w:r>
    </w:p>
    <w:p w14:paraId="242D1932" w14:textId="6555FA71" w:rsidR="00B109C2" w:rsidRPr="00390B8E" w:rsidRDefault="0025591C" w:rsidP="0025591C">
      <w:pPr>
        <w:pStyle w:val="BodytextRPCbeforebullets"/>
        <w:ind w:left="426"/>
        <w:rPr>
          <w:rFonts w:asciiTheme="minorHAnsi" w:hAnsiTheme="minorHAnsi" w:cstheme="minorHAnsi"/>
          <w:color w:val="000000" w:themeColor="text1"/>
        </w:rPr>
      </w:pPr>
      <w:r w:rsidRPr="00390B8E">
        <w:rPr>
          <w:rFonts w:asciiTheme="minorHAnsi" w:hAnsiTheme="minorHAnsi" w:cstheme="minorHAnsi"/>
          <w:color w:val="000000" w:themeColor="text1"/>
        </w:rPr>
        <w:t xml:space="preserve">The </w:t>
      </w:r>
      <w:r w:rsidR="00F92806" w:rsidRPr="00390B8E">
        <w:rPr>
          <w:rFonts w:asciiTheme="minorHAnsi" w:hAnsiTheme="minorHAnsi" w:cstheme="minorHAnsi"/>
          <w:color w:val="000000" w:themeColor="text1"/>
        </w:rPr>
        <w:t xml:space="preserve">AER acknowledged the feedback from stakeholders that customer engagement should not </w:t>
      </w:r>
      <w:r w:rsidR="007B5B7A" w:rsidRPr="00390B8E">
        <w:rPr>
          <w:rFonts w:asciiTheme="minorHAnsi" w:hAnsiTheme="minorHAnsi" w:cstheme="minorHAnsi"/>
          <w:color w:val="000000" w:themeColor="text1"/>
        </w:rPr>
        <w:t>displace detailed analysis as part of the</w:t>
      </w:r>
      <w:r w:rsidR="00F92806" w:rsidRPr="00390B8E">
        <w:rPr>
          <w:rFonts w:asciiTheme="minorHAnsi" w:hAnsiTheme="minorHAnsi" w:cstheme="minorHAnsi"/>
          <w:color w:val="000000" w:themeColor="text1"/>
        </w:rPr>
        <w:t xml:space="preserve"> regulatory process.</w:t>
      </w:r>
    </w:p>
    <w:p w14:paraId="0D78A081" w14:textId="17E3F309" w:rsidR="007B5B7A" w:rsidRPr="00390B8E" w:rsidRDefault="00C43843" w:rsidP="004B095E">
      <w:pPr>
        <w:pStyle w:val="BodytextRPCbeforebullets"/>
        <w:ind w:left="426"/>
        <w:rPr>
          <w:rFonts w:asciiTheme="minorHAnsi" w:hAnsiTheme="minorHAnsi" w:cstheme="minorHAnsi"/>
          <w:color w:val="000000" w:themeColor="text1"/>
        </w:rPr>
      </w:pPr>
      <w:r w:rsidRPr="00390B8E">
        <w:rPr>
          <w:rFonts w:asciiTheme="minorHAnsi" w:hAnsiTheme="minorHAnsi" w:cstheme="minorHAnsi"/>
          <w:color w:val="000000" w:themeColor="text1"/>
        </w:rPr>
        <w:t xml:space="preserve">There are many positives in the framework the AER has </w:t>
      </w:r>
      <w:r w:rsidR="00B741E1" w:rsidRPr="00390B8E">
        <w:rPr>
          <w:rFonts w:asciiTheme="minorHAnsi" w:hAnsiTheme="minorHAnsi" w:cstheme="minorHAnsi"/>
          <w:color w:val="000000" w:themeColor="text1"/>
        </w:rPr>
        <w:t>articulated</w:t>
      </w:r>
      <w:r w:rsidRPr="00390B8E">
        <w:rPr>
          <w:rFonts w:asciiTheme="minorHAnsi" w:hAnsiTheme="minorHAnsi" w:cstheme="minorHAnsi"/>
          <w:color w:val="000000" w:themeColor="text1"/>
        </w:rPr>
        <w:t xml:space="preserve"> to </w:t>
      </w:r>
      <w:r w:rsidR="00F94054" w:rsidRPr="00390B8E">
        <w:rPr>
          <w:rFonts w:asciiTheme="minorHAnsi" w:hAnsiTheme="minorHAnsi" w:cstheme="minorHAnsi"/>
          <w:color w:val="000000" w:themeColor="text1"/>
        </w:rPr>
        <w:t>evaluate engagemen</w:t>
      </w:r>
      <w:r w:rsidR="004B095E" w:rsidRPr="00390B8E">
        <w:rPr>
          <w:rFonts w:asciiTheme="minorHAnsi" w:hAnsiTheme="minorHAnsi" w:cstheme="minorHAnsi"/>
          <w:color w:val="000000" w:themeColor="text1"/>
        </w:rPr>
        <w:t xml:space="preserve">t – we also agree that the weight attributed to the outcome of engagement </w:t>
      </w:r>
      <w:r w:rsidR="007B5B7A" w:rsidRPr="00390B8E">
        <w:rPr>
          <w:rFonts w:asciiTheme="minorHAnsi" w:hAnsiTheme="minorHAnsi" w:cstheme="minorHAnsi"/>
          <w:color w:val="000000" w:themeColor="text1"/>
        </w:rPr>
        <w:t>should include a consideration of</w:t>
      </w:r>
      <w:r w:rsidR="004B095E" w:rsidRPr="00390B8E">
        <w:rPr>
          <w:rFonts w:asciiTheme="minorHAnsi" w:hAnsiTheme="minorHAnsi" w:cstheme="minorHAnsi"/>
          <w:color w:val="000000" w:themeColor="text1"/>
        </w:rPr>
        <w:t xml:space="preserve"> </w:t>
      </w:r>
      <w:r w:rsidR="007B5B7A" w:rsidRPr="00390B8E">
        <w:rPr>
          <w:rFonts w:asciiTheme="minorHAnsi" w:hAnsiTheme="minorHAnsi" w:cstheme="minorHAnsi"/>
          <w:color w:val="000000" w:themeColor="text1"/>
        </w:rPr>
        <w:t>the consultation’s</w:t>
      </w:r>
      <w:r w:rsidR="004B095E" w:rsidRPr="00390B8E">
        <w:rPr>
          <w:rFonts w:asciiTheme="minorHAnsi" w:hAnsiTheme="minorHAnsi" w:cstheme="minorHAnsi"/>
          <w:color w:val="000000" w:themeColor="text1"/>
        </w:rPr>
        <w:t xml:space="preserve"> context. </w:t>
      </w:r>
    </w:p>
    <w:p w14:paraId="28786C0A" w14:textId="01F5B9FF" w:rsidR="00C8448B" w:rsidRPr="00390B8E" w:rsidRDefault="00C8448B" w:rsidP="00C8448B">
      <w:pPr>
        <w:pStyle w:val="BodytextRPCbeforebullets"/>
        <w:numPr>
          <w:ilvl w:val="0"/>
          <w:numId w:val="12"/>
        </w:numPr>
        <w:ind w:left="426"/>
        <w:rPr>
          <w:b/>
          <w:bCs/>
          <w:color w:val="000000" w:themeColor="text1"/>
        </w:rPr>
      </w:pPr>
      <w:r w:rsidRPr="00390B8E">
        <w:rPr>
          <w:b/>
          <w:bCs/>
          <w:color w:val="000000" w:themeColor="text1"/>
        </w:rPr>
        <w:t xml:space="preserve">Operational expenditure </w:t>
      </w:r>
      <w:r w:rsidR="00EE7F6E" w:rsidRPr="00390B8E">
        <w:rPr>
          <w:b/>
          <w:bCs/>
          <w:color w:val="000000" w:themeColor="text1"/>
        </w:rPr>
        <w:t xml:space="preserve">(opex) </w:t>
      </w:r>
      <w:r w:rsidR="007B5B7A" w:rsidRPr="00390B8E">
        <w:rPr>
          <w:b/>
          <w:bCs/>
          <w:color w:val="000000" w:themeColor="text1"/>
        </w:rPr>
        <w:t>efficiency</w:t>
      </w:r>
      <w:r w:rsidRPr="00390B8E">
        <w:rPr>
          <w:b/>
          <w:bCs/>
          <w:color w:val="000000" w:themeColor="text1"/>
        </w:rPr>
        <w:t xml:space="preserve"> has been declining over </w:t>
      </w:r>
      <w:r w:rsidR="008E5D77" w:rsidRPr="00390B8E">
        <w:rPr>
          <w:b/>
          <w:bCs/>
          <w:color w:val="000000" w:themeColor="text1"/>
        </w:rPr>
        <w:t>the long term</w:t>
      </w:r>
      <w:r w:rsidRPr="00390B8E">
        <w:rPr>
          <w:b/>
          <w:bCs/>
          <w:color w:val="000000" w:themeColor="text1"/>
        </w:rPr>
        <w:t xml:space="preserve"> for most networks. </w:t>
      </w:r>
      <w:r w:rsidR="007B5B7A" w:rsidRPr="00390B8E">
        <w:rPr>
          <w:b/>
          <w:bCs/>
          <w:color w:val="000000" w:themeColor="text1"/>
        </w:rPr>
        <w:t xml:space="preserve">We support </w:t>
      </w:r>
      <w:r w:rsidR="006F0E28" w:rsidRPr="00390B8E">
        <w:rPr>
          <w:b/>
          <w:bCs/>
          <w:color w:val="000000" w:themeColor="text1"/>
        </w:rPr>
        <w:t>AER’s decision to</w:t>
      </w:r>
      <w:r w:rsidRPr="00390B8E">
        <w:rPr>
          <w:b/>
          <w:bCs/>
          <w:color w:val="000000" w:themeColor="text1"/>
        </w:rPr>
        <w:t xml:space="preserve"> </w:t>
      </w:r>
      <w:r w:rsidR="006F0E28" w:rsidRPr="00390B8E">
        <w:rPr>
          <w:b/>
          <w:bCs/>
          <w:color w:val="000000" w:themeColor="text1"/>
        </w:rPr>
        <w:t>require</w:t>
      </w:r>
      <w:r w:rsidRPr="00390B8E">
        <w:rPr>
          <w:b/>
          <w:bCs/>
          <w:color w:val="000000" w:themeColor="text1"/>
        </w:rPr>
        <w:t xml:space="preserve"> </w:t>
      </w:r>
      <w:r w:rsidR="006F0E28" w:rsidRPr="00390B8E">
        <w:rPr>
          <w:b/>
          <w:bCs/>
          <w:color w:val="000000" w:themeColor="text1"/>
        </w:rPr>
        <w:t>improvement</w:t>
      </w:r>
      <w:r w:rsidR="007B5B7A" w:rsidRPr="00390B8E">
        <w:rPr>
          <w:b/>
          <w:bCs/>
          <w:color w:val="000000" w:themeColor="text1"/>
        </w:rPr>
        <w:t>s</w:t>
      </w:r>
      <w:r w:rsidR="008E5D77" w:rsidRPr="00390B8E">
        <w:rPr>
          <w:b/>
          <w:bCs/>
          <w:color w:val="000000" w:themeColor="text1"/>
        </w:rPr>
        <w:t>.</w:t>
      </w:r>
    </w:p>
    <w:p w14:paraId="7F7A4F5C" w14:textId="3FD35CD7" w:rsidR="008E5D77" w:rsidRPr="00390B8E" w:rsidRDefault="0034641C" w:rsidP="0060669F">
      <w:pPr>
        <w:pStyle w:val="BodytextRPC"/>
        <w:ind w:left="426"/>
        <w:rPr>
          <w:color w:val="000000" w:themeColor="text1"/>
        </w:rPr>
      </w:pPr>
      <w:r w:rsidRPr="00390B8E">
        <w:rPr>
          <w:color w:val="000000" w:themeColor="text1"/>
        </w:rPr>
        <w:t>Opex productivity declined on a long-term trend for most networks between 2006 and 2018.</w:t>
      </w:r>
      <w:r w:rsidR="00B16890" w:rsidRPr="00390B8E">
        <w:rPr>
          <w:color w:val="000000" w:themeColor="text1"/>
        </w:rPr>
        <w:t xml:space="preserve"> </w:t>
      </w:r>
      <w:r w:rsidR="00AD4018" w:rsidRPr="00390B8E">
        <w:rPr>
          <w:color w:val="000000" w:themeColor="text1"/>
        </w:rPr>
        <w:t>Analysis supports the</w:t>
      </w:r>
      <w:r w:rsidR="007B5B7A" w:rsidRPr="00390B8E">
        <w:rPr>
          <w:color w:val="000000" w:themeColor="text1"/>
        </w:rPr>
        <w:t xml:space="preserve"> adjustments</w:t>
      </w:r>
      <w:r w:rsidR="00AD4018" w:rsidRPr="00390B8E">
        <w:rPr>
          <w:color w:val="000000" w:themeColor="text1"/>
        </w:rPr>
        <w:t xml:space="preserve"> </w:t>
      </w:r>
      <w:r w:rsidR="00512F2B" w:rsidRPr="00390B8E">
        <w:rPr>
          <w:color w:val="000000" w:themeColor="text1"/>
        </w:rPr>
        <w:t>applied</w:t>
      </w:r>
      <w:r w:rsidR="00AD4018" w:rsidRPr="00390B8E">
        <w:rPr>
          <w:color w:val="000000" w:themeColor="text1"/>
        </w:rPr>
        <w:t xml:space="preserve"> to Jemena’s</w:t>
      </w:r>
      <w:r w:rsidR="00512F2B" w:rsidRPr="00390B8E">
        <w:rPr>
          <w:color w:val="000000" w:themeColor="text1"/>
        </w:rPr>
        <w:t xml:space="preserve"> base year, and suggests improvements are also appropriate for</w:t>
      </w:r>
      <w:r w:rsidR="00AD4018" w:rsidRPr="00390B8E">
        <w:rPr>
          <w:color w:val="000000" w:themeColor="text1"/>
        </w:rPr>
        <w:t xml:space="preserve"> </w:t>
      </w:r>
      <w:r w:rsidR="00B46557" w:rsidRPr="00390B8E">
        <w:rPr>
          <w:color w:val="000000" w:themeColor="text1"/>
        </w:rPr>
        <w:t>AusNet</w:t>
      </w:r>
      <w:r w:rsidR="007B5B7A" w:rsidRPr="00390B8E">
        <w:rPr>
          <w:color w:val="000000" w:themeColor="text1"/>
        </w:rPr>
        <w:t xml:space="preserve"> Services.</w:t>
      </w:r>
    </w:p>
    <w:p w14:paraId="7C657D1F" w14:textId="7838C575" w:rsidR="005200E5" w:rsidRPr="00390B8E" w:rsidRDefault="000970A6" w:rsidP="005200E5">
      <w:pPr>
        <w:pStyle w:val="BodytextRPCbeforebullets"/>
        <w:numPr>
          <w:ilvl w:val="0"/>
          <w:numId w:val="12"/>
        </w:numPr>
        <w:ind w:left="426"/>
        <w:rPr>
          <w:color w:val="000000" w:themeColor="text1"/>
        </w:rPr>
      </w:pPr>
      <w:r w:rsidRPr="00390B8E">
        <w:rPr>
          <w:b/>
          <w:bCs/>
          <w:color w:val="000000" w:themeColor="text1"/>
        </w:rPr>
        <w:lastRenderedPageBreak/>
        <w:t>The</w:t>
      </w:r>
      <w:r w:rsidR="00D242DA" w:rsidRPr="00390B8E">
        <w:rPr>
          <w:b/>
          <w:bCs/>
          <w:color w:val="000000" w:themeColor="text1"/>
        </w:rPr>
        <w:t xml:space="preserve"> reduced capital expenditure (capex) allowances of the</w:t>
      </w:r>
      <w:r w:rsidR="002D2625" w:rsidRPr="00390B8E">
        <w:rPr>
          <w:b/>
          <w:bCs/>
          <w:color w:val="000000" w:themeColor="text1"/>
        </w:rPr>
        <w:t xml:space="preserve"> </w:t>
      </w:r>
      <w:r w:rsidR="00761BDD" w:rsidRPr="00390B8E">
        <w:rPr>
          <w:b/>
          <w:bCs/>
          <w:color w:val="000000" w:themeColor="text1"/>
        </w:rPr>
        <w:t>Draft Determinations</w:t>
      </w:r>
      <w:r w:rsidR="0019579D" w:rsidRPr="00390B8E">
        <w:rPr>
          <w:b/>
          <w:bCs/>
          <w:color w:val="000000" w:themeColor="text1"/>
        </w:rPr>
        <w:t xml:space="preserve"> </w:t>
      </w:r>
      <w:r w:rsidR="00D242DA" w:rsidRPr="00390B8E">
        <w:rPr>
          <w:b/>
          <w:bCs/>
          <w:color w:val="000000" w:themeColor="text1"/>
        </w:rPr>
        <w:t>address</w:t>
      </w:r>
      <w:r w:rsidR="0019579D" w:rsidRPr="00390B8E">
        <w:rPr>
          <w:b/>
          <w:bCs/>
          <w:color w:val="000000" w:themeColor="text1"/>
        </w:rPr>
        <w:t xml:space="preserve"> stakeholder concerns about </w:t>
      </w:r>
      <w:r w:rsidR="002D2625" w:rsidRPr="00390B8E">
        <w:rPr>
          <w:b/>
          <w:bCs/>
          <w:color w:val="000000" w:themeColor="text1"/>
        </w:rPr>
        <w:t xml:space="preserve">a </w:t>
      </w:r>
      <w:proofErr w:type="gramStart"/>
      <w:r w:rsidR="002D2625" w:rsidRPr="00390B8E">
        <w:rPr>
          <w:b/>
          <w:bCs/>
          <w:color w:val="000000" w:themeColor="text1"/>
        </w:rPr>
        <w:t>continually-</w:t>
      </w:r>
      <w:r w:rsidR="0019579D" w:rsidRPr="00390B8E">
        <w:rPr>
          <w:b/>
          <w:bCs/>
          <w:color w:val="000000" w:themeColor="text1"/>
        </w:rPr>
        <w:t>growing</w:t>
      </w:r>
      <w:proofErr w:type="gramEnd"/>
      <w:r w:rsidR="0019579D" w:rsidRPr="00390B8E">
        <w:rPr>
          <w:b/>
          <w:bCs/>
          <w:color w:val="000000" w:themeColor="text1"/>
        </w:rPr>
        <w:t xml:space="preserve"> RAB.</w:t>
      </w:r>
      <w:r w:rsidR="00761BDD" w:rsidRPr="00390B8E">
        <w:rPr>
          <w:b/>
          <w:bCs/>
          <w:color w:val="000000" w:themeColor="text1"/>
        </w:rPr>
        <w:t xml:space="preserve"> </w:t>
      </w:r>
      <w:r w:rsidR="00D242DA" w:rsidRPr="00390B8E">
        <w:rPr>
          <w:b/>
          <w:bCs/>
          <w:color w:val="000000" w:themeColor="text1"/>
        </w:rPr>
        <w:t>The revised</w:t>
      </w:r>
      <w:r w:rsidR="00761BDD" w:rsidRPr="00390B8E">
        <w:rPr>
          <w:b/>
          <w:bCs/>
          <w:color w:val="000000" w:themeColor="text1"/>
        </w:rPr>
        <w:t xml:space="preserve"> </w:t>
      </w:r>
      <w:r w:rsidR="008647C9" w:rsidRPr="00390B8E">
        <w:rPr>
          <w:b/>
          <w:bCs/>
          <w:color w:val="000000" w:themeColor="text1"/>
        </w:rPr>
        <w:t xml:space="preserve">proposals </w:t>
      </w:r>
      <w:r w:rsidR="002F212B" w:rsidRPr="00390B8E">
        <w:rPr>
          <w:b/>
          <w:bCs/>
          <w:color w:val="000000" w:themeColor="text1"/>
        </w:rPr>
        <w:t>for capex increases</w:t>
      </w:r>
      <w:r w:rsidR="008647C9" w:rsidRPr="00390B8E">
        <w:rPr>
          <w:b/>
          <w:bCs/>
          <w:color w:val="000000" w:themeColor="text1"/>
        </w:rPr>
        <w:t xml:space="preserve"> are likely to </w:t>
      </w:r>
      <w:r w:rsidR="00761BDD" w:rsidRPr="00390B8E">
        <w:rPr>
          <w:b/>
          <w:bCs/>
          <w:color w:val="000000" w:themeColor="text1"/>
        </w:rPr>
        <w:t xml:space="preserve">exceed </w:t>
      </w:r>
      <w:r w:rsidR="00EE7F6E" w:rsidRPr="00390B8E">
        <w:rPr>
          <w:b/>
          <w:bCs/>
          <w:color w:val="000000" w:themeColor="text1"/>
        </w:rPr>
        <w:t>requirements</w:t>
      </w:r>
      <w:r w:rsidR="008647C9" w:rsidRPr="00390B8E">
        <w:rPr>
          <w:b/>
          <w:bCs/>
          <w:color w:val="000000" w:themeColor="text1"/>
        </w:rPr>
        <w:t>.</w:t>
      </w:r>
    </w:p>
    <w:p w14:paraId="38812BB4" w14:textId="6070411D" w:rsidR="002F212B" w:rsidRPr="00390B8E" w:rsidRDefault="00372E25" w:rsidP="002F212B">
      <w:pPr>
        <w:pStyle w:val="BodytextRPCbeforebullets"/>
        <w:ind w:left="426"/>
        <w:rPr>
          <w:rFonts w:asciiTheme="minorHAnsi" w:hAnsiTheme="minorHAnsi" w:cstheme="minorHAnsi"/>
          <w:color w:val="000000" w:themeColor="text1"/>
        </w:rPr>
      </w:pPr>
      <w:r w:rsidRPr="00390B8E">
        <w:rPr>
          <w:rFonts w:asciiTheme="minorHAnsi" w:hAnsiTheme="minorHAnsi" w:cstheme="minorHAnsi"/>
          <w:color w:val="000000" w:themeColor="text1"/>
        </w:rPr>
        <w:t>The AER</w:t>
      </w:r>
      <w:r w:rsidR="005200E5" w:rsidRPr="00390B8E">
        <w:rPr>
          <w:rFonts w:asciiTheme="minorHAnsi" w:hAnsiTheme="minorHAnsi" w:cstheme="minorHAnsi"/>
          <w:color w:val="000000" w:themeColor="text1"/>
        </w:rPr>
        <w:t xml:space="preserve"> has determined that </w:t>
      </w:r>
      <w:r w:rsidR="0073708A" w:rsidRPr="00390B8E">
        <w:rPr>
          <w:rFonts w:asciiTheme="minorHAnsi" w:hAnsiTheme="minorHAnsi" w:cstheme="minorHAnsi"/>
          <w:color w:val="000000" w:themeColor="text1"/>
        </w:rPr>
        <w:t>initial</w:t>
      </w:r>
      <w:r w:rsidR="005200E5" w:rsidRPr="00390B8E">
        <w:rPr>
          <w:rFonts w:asciiTheme="minorHAnsi" w:hAnsiTheme="minorHAnsi" w:cstheme="minorHAnsi"/>
          <w:color w:val="000000" w:themeColor="text1"/>
        </w:rPr>
        <w:t xml:space="preserve"> capex proposals exceed current requirements. </w:t>
      </w:r>
      <w:r w:rsidR="0073708A" w:rsidRPr="00390B8E">
        <w:rPr>
          <w:rFonts w:asciiTheme="minorHAnsi" w:hAnsiTheme="minorHAnsi" w:cstheme="minorHAnsi"/>
          <w:color w:val="000000" w:themeColor="text1"/>
        </w:rPr>
        <w:t xml:space="preserve">Their decision acknowledges concerns raised by many about the implications of ongoing growth in the RAB – although RAB-per-customer still increases </w:t>
      </w:r>
      <w:r w:rsidR="002F212B" w:rsidRPr="00390B8E">
        <w:rPr>
          <w:rFonts w:asciiTheme="minorHAnsi" w:hAnsiTheme="minorHAnsi" w:cstheme="minorHAnsi"/>
          <w:color w:val="000000" w:themeColor="text1"/>
        </w:rPr>
        <w:t xml:space="preserve">in most cases. </w:t>
      </w:r>
    </w:p>
    <w:p w14:paraId="1E092CB0" w14:textId="6D37D62A" w:rsidR="001A7CFF" w:rsidRPr="00390B8E" w:rsidRDefault="002F212B" w:rsidP="002F212B">
      <w:pPr>
        <w:pStyle w:val="BodytextRPCbeforebullets"/>
        <w:ind w:left="426"/>
        <w:rPr>
          <w:rFonts w:asciiTheme="minorHAnsi" w:hAnsiTheme="minorHAnsi" w:cstheme="minorHAnsi"/>
          <w:color w:val="000000" w:themeColor="text1"/>
        </w:rPr>
      </w:pPr>
      <w:r w:rsidRPr="00390B8E">
        <w:rPr>
          <w:rFonts w:asciiTheme="minorHAnsi" w:hAnsiTheme="minorHAnsi" w:cstheme="minorHAnsi"/>
          <w:color w:val="000000" w:themeColor="text1"/>
        </w:rPr>
        <w:t>Distributors</w:t>
      </w:r>
      <w:r w:rsidR="00B50571" w:rsidRPr="00390B8E">
        <w:rPr>
          <w:rFonts w:asciiTheme="minorHAnsi" w:hAnsiTheme="minorHAnsi" w:cstheme="minorHAnsi"/>
          <w:color w:val="000000" w:themeColor="text1"/>
        </w:rPr>
        <w:t>’</w:t>
      </w:r>
      <w:r w:rsidRPr="00390B8E">
        <w:rPr>
          <w:rFonts w:asciiTheme="minorHAnsi" w:hAnsiTheme="minorHAnsi" w:cstheme="minorHAnsi"/>
          <w:color w:val="000000" w:themeColor="text1"/>
        </w:rPr>
        <w:t xml:space="preserve"> revised applications for capex increases, including </w:t>
      </w:r>
      <w:r w:rsidR="00B46557" w:rsidRPr="00390B8E">
        <w:rPr>
          <w:rFonts w:asciiTheme="minorHAnsi" w:hAnsiTheme="minorHAnsi" w:cstheme="minorHAnsi"/>
          <w:color w:val="000000" w:themeColor="text1"/>
        </w:rPr>
        <w:t>AusNet</w:t>
      </w:r>
      <w:r w:rsidRPr="00390B8E">
        <w:rPr>
          <w:rFonts w:asciiTheme="minorHAnsi" w:hAnsiTheme="minorHAnsi" w:cstheme="minorHAnsi"/>
          <w:color w:val="000000" w:themeColor="text1"/>
        </w:rPr>
        <w:t xml:space="preserve"> Services and Jemena’s rejection of </w:t>
      </w:r>
      <w:r w:rsidR="00B50571" w:rsidRPr="00390B8E">
        <w:rPr>
          <w:rFonts w:asciiTheme="minorHAnsi" w:hAnsiTheme="minorHAnsi" w:cstheme="minorHAnsi"/>
          <w:color w:val="000000" w:themeColor="text1"/>
        </w:rPr>
        <w:t>almost the entirety of the</w:t>
      </w:r>
      <w:r w:rsidRPr="00390B8E">
        <w:rPr>
          <w:rFonts w:asciiTheme="minorHAnsi" w:hAnsiTheme="minorHAnsi" w:cstheme="minorHAnsi"/>
          <w:color w:val="000000" w:themeColor="text1"/>
        </w:rPr>
        <w:t xml:space="preserve"> </w:t>
      </w:r>
      <w:r w:rsidR="00B50571" w:rsidRPr="00390B8E">
        <w:rPr>
          <w:rFonts w:asciiTheme="minorHAnsi" w:hAnsiTheme="minorHAnsi" w:cstheme="minorHAnsi"/>
          <w:color w:val="000000" w:themeColor="text1"/>
        </w:rPr>
        <w:t>AER’s decision</w:t>
      </w:r>
      <w:r w:rsidRPr="00390B8E">
        <w:rPr>
          <w:rFonts w:asciiTheme="minorHAnsi" w:hAnsiTheme="minorHAnsi" w:cstheme="minorHAnsi"/>
          <w:color w:val="000000" w:themeColor="text1"/>
        </w:rPr>
        <w:t xml:space="preserve">, </w:t>
      </w:r>
      <w:r w:rsidR="00F20881" w:rsidRPr="00390B8E">
        <w:rPr>
          <w:rFonts w:asciiTheme="minorHAnsi" w:hAnsiTheme="minorHAnsi" w:cstheme="minorHAnsi"/>
          <w:color w:val="000000" w:themeColor="text1"/>
        </w:rPr>
        <w:t>reverse this progress.</w:t>
      </w:r>
    </w:p>
    <w:p w14:paraId="619D8C7D" w14:textId="121FF515" w:rsidR="00C8448B" w:rsidRPr="00390B8E" w:rsidRDefault="002C3D8E" w:rsidP="00C8448B">
      <w:pPr>
        <w:pStyle w:val="BodytextRPCbeforebullets"/>
        <w:numPr>
          <w:ilvl w:val="0"/>
          <w:numId w:val="12"/>
        </w:numPr>
        <w:ind w:left="426"/>
        <w:rPr>
          <w:color w:val="000000" w:themeColor="text1"/>
        </w:rPr>
      </w:pPr>
      <w:r w:rsidRPr="00390B8E">
        <w:rPr>
          <w:b/>
          <w:bCs/>
          <w:color w:val="000000" w:themeColor="text1"/>
        </w:rPr>
        <w:t>Replacement expenditure (</w:t>
      </w:r>
      <w:proofErr w:type="spellStart"/>
      <w:r w:rsidRPr="00390B8E">
        <w:rPr>
          <w:b/>
          <w:bCs/>
          <w:color w:val="000000" w:themeColor="text1"/>
        </w:rPr>
        <w:t>r</w:t>
      </w:r>
      <w:r w:rsidR="002D0A38" w:rsidRPr="00390B8E">
        <w:rPr>
          <w:b/>
          <w:bCs/>
          <w:color w:val="000000" w:themeColor="text1"/>
        </w:rPr>
        <w:t>epex</w:t>
      </w:r>
      <w:proofErr w:type="spellEnd"/>
      <w:r w:rsidRPr="00390B8E">
        <w:rPr>
          <w:b/>
          <w:bCs/>
          <w:color w:val="000000" w:themeColor="text1"/>
        </w:rPr>
        <w:t>)</w:t>
      </w:r>
      <w:r w:rsidR="002D0A38" w:rsidRPr="00390B8E">
        <w:rPr>
          <w:b/>
          <w:bCs/>
          <w:color w:val="000000" w:themeColor="text1"/>
        </w:rPr>
        <w:t xml:space="preserve"> allowances are significantly higher than the historical average, despite improving reliability measures.</w:t>
      </w:r>
    </w:p>
    <w:p w14:paraId="74237AB0" w14:textId="199B4E72" w:rsidR="00C8448B" w:rsidRPr="00390B8E" w:rsidRDefault="002C3D8E" w:rsidP="00C8448B">
      <w:pPr>
        <w:pStyle w:val="BodytextRPCbeforebullets"/>
        <w:ind w:left="426"/>
        <w:rPr>
          <w:rFonts w:asciiTheme="minorHAnsi" w:hAnsiTheme="minorHAnsi" w:cstheme="minorHAnsi"/>
          <w:color w:val="000000" w:themeColor="text1"/>
        </w:rPr>
      </w:pPr>
      <w:r w:rsidRPr="00390B8E">
        <w:rPr>
          <w:rFonts w:asciiTheme="minorHAnsi" w:hAnsiTheme="minorHAnsi" w:cstheme="minorHAnsi"/>
          <w:color w:val="000000" w:themeColor="text1"/>
        </w:rPr>
        <w:t>R</w:t>
      </w:r>
      <w:r w:rsidR="001A7CFF" w:rsidRPr="00390B8E">
        <w:rPr>
          <w:rFonts w:asciiTheme="minorHAnsi" w:hAnsiTheme="minorHAnsi" w:cstheme="minorHAnsi"/>
          <w:color w:val="000000" w:themeColor="text1"/>
        </w:rPr>
        <w:t xml:space="preserve">eliability indicators </w:t>
      </w:r>
      <w:r w:rsidRPr="00390B8E">
        <w:rPr>
          <w:rFonts w:asciiTheme="minorHAnsi" w:hAnsiTheme="minorHAnsi" w:cstheme="minorHAnsi"/>
          <w:color w:val="000000" w:themeColor="text1"/>
        </w:rPr>
        <w:t>have continued to improve for most networks through 2019</w:t>
      </w:r>
      <w:r w:rsidR="001A7CFF" w:rsidRPr="00390B8E">
        <w:rPr>
          <w:rFonts w:asciiTheme="minorHAnsi" w:hAnsiTheme="minorHAnsi" w:cstheme="minorHAnsi"/>
          <w:color w:val="000000" w:themeColor="text1"/>
        </w:rPr>
        <w:t>, despite general customer preference for affordability.</w:t>
      </w:r>
      <w:r w:rsidR="00F20881" w:rsidRPr="00390B8E">
        <w:rPr>
          <w:rFonts w:asciiTheme="minorHAnsi" w:hAnsiTheme="minorHAnsi" w:cstheme="minorHAnsi"/>
          <w:color w:val="000000" w:themeColor="text1"/>
        </w:rPr>
        <w:t xml:space="preserve"> Trend analysis did not find evidence to support the approval of </w:t>
      </w:r>
      <w:proofErr w:type="spellStart"/>
      <w:r w:rsidR="00F20881" w:rsidRPr="00390B8E">
        <w:rPr>
          <w:rFonts w:asciiTheme="minorHAnsi" w:hAnsiTheme="minorHAnsi" w:cstheme="minorHAnsi"/>
          <w:color w:val="000000" w:themeColor="text1"/>
        </w:rPr>
        <w:t>repex</w:t>
      </w:r>
      <w:proofErr w:type="spellEnd"/>
      <w:r w:rsidR="00F20881" w:rsidRPr="00390B8E">
        <w:rPr>
          <w:rFonts w:asciiTheme="minorHAnsi" w:hAnsiTheme="minorHAnsi" w:cstheme="minorHAnsi"/>
          <w:color w:val="000000" w:themeColor="text1"/>
        </w:rPr>
        <w:t xml:space="preserve"> that was 25% above the historical average.</w:t>
      </w:r>
    </w:p>
    <w:p w14:paraId="4A68CB13" w14:textId="77777777" w:rsidR="002C3D8E" w:rsidRPr="00390B8E" w:rsidRDefault="002C3D8E" w:rsidP="002C3D8E">
      <w:pPr>
        <w:pStyle w:val="BodytextRPCbeforebullets"/>
        <w:numPr>
          <w:ilvl w:val="0"/>
          <w:numId w:val="12"/>
        </w:numPr>
        <w:ind w:left="426"/>
        <w:rPr>
          <w:color w:val="000000" w:themeColor="text1"/>
        </w:rPr>
      </w:pPr>
      <w:r w:rsidRPr="00390B8E">
        <w:rPr>
          <w:b/>
          <w:bCs/>
          <w:color w:val="000000" w:themeColor="text1"/>
        </w:rPr>
        <w:t xml:space="preserve">The Draft Determination’s challenge to the CPPALUE networks’ proposed pole </w:t>
      </w:r>
      <w:proofErr w:type="spellStart"/>
      <w:r w:rsidRPr="00390B8E">
        <w:rPr>
          <w:b/>
          <w:bCs/>
          <w:color w:val="000000" w:themeColor="text1"/>
        </w:rPr>
        <w:t>repex</w:t>
      </w:r>
      <w:proofErr w:type="spellEnd"/>
      <w:r w:rsidRPr="00390B8E">
        <w:rPr>
          <w:b/>
          <w:bCs/>
          <w:color w:val="000000" w:themeColor="text1"/>
        </w:rPr>
        <w:t xml:space="preserve"> program, through comparison to historical outcomes, is appropriate. </w:t>
      </w:r>
    </w:p>
    <w:p w14:paraId="21DAF1DB" w14:textId="4420E958" w:rsidR="002C3D8E" w:rsidRPr="00390B8E" w:rsidRDefault="002C3D8E" w:rsidP="002C3D8E">
      <w:pPr>
        <w:pStyle w:val="BodytextRPCbeforebullets"/>
        <w:ind w:left="426"/>
        <w:rPr>
          <w:color w:val="000000" w:themeColor="text1"/>
        </w:rPr>
      </w:pPr>
      <w:r w:rsidRPr="00390B8E">
        <w:rPr>
          <w:color w:val="000000" w:themeColor="text1"/>
        </w:rPr>
        <w:t xml:space="preserve">We support the development of a refined pole </w:t>
      </w:r>
      <w:proofErr w:type="spellStart"/>
      <w:r w:rsidRPr="00390B8E">
        <w:rPr>
          <w:color w:val="000000" w:themeColor="text1"/>
        </w:rPr>
        <w:t>repex</w:t>
      </w:r>
      <w:proofErr w:type="spellEnd"/>
      <w:r w:rsidRPr="00390B8E">
        <w:rPr>
          <w:color w:val="000000" w:themeColor="text1"/>
        </w:rPr>
        <w:t xml:space="preserve"> model that manages bushfire risks, and also aligns with historical outcomes, and properly accounts for differences in the hazard and risk profile of different operating environments (especially urban/rural.)</w:t>
      </w:r>
    </w:p>
    <w:p w14:paraId="17A2019C" w14:textId="1C09680E" w:rsidR="002D0A38" w:rsidRPr="00390B8E" w:rsidRDefault="002D0A38" w:rsidP="002D0A38">
      <w:pPr>
        <w:pStyle w:val="BodytextRPCbeforebullets"/>
        <w:numPr>
          <w:ilvl w:val="0"/>
          <w:numId w:val="12"/>
        </w:numPr>
        <w:ind w:left="426"/>
        <w:rPr>
          <w:color w:val="000000" w:themeColor="text1"/>
        </w:rPr>
      </w:pPr>
      <w:r w:rsidRPr="00390B8E">
        <w:rPr>
          <w:b/>
          <w:bCs/>
          <w:color w:val="000000" w:themeColor="text1"/>
        </w:rPr>
        <w:t xml:space="preserve">Trend analysis finds that </w:t>
      </w:r>
      <w:r w:rsidR="002C3D8E" w:rsidRPr="00390B8E">
        <w:rPr>
          <w:b/>
          <w:bCs/>
          <w:color w:val="000000" w:themeColor="text1"/>
        </w:rPr>
        <w:t>augmentation expenditure (</w:t>
      </w:r>
      <w:proofErr w:type="spellStart"/>
      <w:r w:rsidR="002C3D8E" w:rsidRPr="00390B8E">
        <w:rPr>
          <w:b/>
          <w:bCs/>
          <w:color w:val="000000" w:themeColor="text1"/>
        </w:rPr>
        <w:t>augex</w:t>
      </w:r>
      <w:proofErr w:type="spellEnd"/>
      <w:r w:rsidR="002C3D8E" w:rsidRPr="00390B8E">
        <w:rPr>
          <w:b/>
          <w:bCs/>
          <w:color w:val="000000" w:themeColor="text1"/>
        </w:rPr>
        <w:t>)</w:t>
      </w:r>
      <w:r w:rsidRPr="00390B8E">
        <w:rPr>
          <w:b/>
          <w:bCs/>
          <w:color w:val="000000" w:themeColor="text1"/>
        </w:rPr>
        <w:t xml:space="preserve"> proposed for the upcoming period is higher than actual spending in the current period, while AEMO’s forecast for static state-wide demand growth suggests that an increase </w:t>
      </w:r>
      <w:r w:rsidR="00F20881" w:rsidRPr="00390B8E">
        <w:rPr>
          <w:b/>
          <w:bCs/>
          <w:color w:val="000000" w:themeColor="text1"/>
        </w:rPr>
        <w:t xml:space="preserve">would </w:t>
      </w:r>
      <w:r w:rsidRPr="00390B8E">
        <w:rPr>
          <w:b/>
          <w:bCs/>
          <w:color w:val="000000" w:themeColor="text1"/>
        </w:rPr>
        <w:t>exceed requirements</w:t>
      </w:r>
    </w:p>
    <w:p w14:paraId="0A39D6BB" w14:textId="12FF46B3" w:rsidR="002D0A38" w:rsidRPr="00390B8E" w:rsidRDefault="002D0A38" w:rsidP="002D0A38">
      <w:pPr>
        <w:pStyle w:val="BodytextRPCbeforebullets"/>
        <w:ind w:left="426"/>
        <w:rPr>
          <w:rFonts w:asciiTheme="minorHAnsi" w:hAnsiTheme="minorHAnsi" w:cstheme="minorHAnsi"/>
          <w:color w:val="000000" w:themeColor="text1"/>
        </w:rPr>
      </w:pPr>
      <w:r w:rsidRPr="00390B8E">
        <w:rPr>
          <w:rFonts w:asciiTheme="minorHAnsi" w:hAnsiTheme="minorHAnsi" w:cstheme="minorHAnsi"/>
          <w:color w:val="000000" w:themeColor="text1"/>
        </w:rPr>
        <w:t xml:space="preserve">While demand growth will not be static in all areas, AEMO’s forecast for continuing stable state-wide maximums suggests </w:t>
      </w:r>
      <w:r w:rsidR="00F20881" w:rsidRPr="00390B8E">
        <w:rPr>
          <w:rFonts w:asciiTheme="minorHAnsi" w:hAnsiTheme="minorHAnsi" w:cstheme="minorHAnsi"/>
          <w:color w:val="000000" w:themeColor="text1"/>
        </w:rPr>
        <w:t xml:space="preserve">the next periods’ </w:t>
      </w:r>
      <w:proofErr w:type="spellStart"/>
      <w:r w:rsidRPr="00390B8E">
        <w:rPr>
          <w:rFonts w:asciiTheme="minorHAnsi" w:hAnsiTheme="minorHAnsi" w:cstheme="minorHAnsi"/>
          <w:color w:val="000000" w:themeColor="text1"/>
        </w:rPr>
        <w:t>augex</w:t>
      </w:r>
      <w:proofErr w:type="spellEnd"/>
      <w:r w:rsidRPr="00390B8E">
        <w:rPr>
          <w:rFonts w:asciiTheme="minorHAnsi" w:hAnsiTheme="minorHAnsi" w:cstheme="minorHAnsi"/>
          <w:color w:val="000000" w:themeColor="text1"/>
        </w:rPr>
        <w:t xml:space="preserve"> should be similar to current levels.</w:t>
      </w:r>
    </w:p>
    <w:p w14:paraId="40A0905A" w14:textId="4710CC81" w:rsidR="002D0A38" w:rsidRPr="00390B8E" w:rsidRDefault="00EE7F6E" w:rsidP="002C3D8E">
      <w:pPr>
        <w:pStyle w:val="BodytextRPCbeforebullets"/>
        <w:ind w:left="426"/>
        <w:rPr>
          <w:rFonts w:asciiTheme="minorHAnsi" w:hAnsiTheme="minorHAnsi" w:cstheme="minorHAnsi"/>
          <w:color w:val="000000" w:themeColor="text1"/>
        </w:rPr>
      </w:pPr>
      <w:r w:rsidRPr="00390B8E">
        <w:rPr>
          <w:rFonts w:asciiTheme="minorHAnsi" w:hAnsiTheme="minorHAnsi" w:cstheme="minorHAnsi"/>
          <w:color w:val="000000" w:themeColor="text1"/>
        </w:rPr>
        <w:t>Stable demand at the state level</w:t>
      </w:r>
      <w:r w:rsidR="002D0A38" w:rsidRPr="00390B8E">
        <w:rPr>
          <w:rFonts w:asciiTheme="minorHAnsi" w:hAnsiTheme="minorHAnsi" w:cstheme="minorHAnsi"/>
          <w:color w:val="000000" w:themeColor="text1"/>
        </w:rPr>
        <w:t xml:space="preserve"> </w:t>
      </w:r>
      <w:r w:rsidRPr="00390B8E">
        <w:rPr>
          <w:rFonts w:asciiTheme="minorHAnsi" w:hAnsiTheme="minorHAnsi" w:cstheme="minorHAnsi"/>
          <w:color w:val="000000" w:themeColor="text1"/>
        </w:rPr>
        <w:t>suggests there may be opportunities</w:t>
      </w:r>
      <w:r w:rsidR="002C3D8E" w:rsidRPr="00390B8E">
        <w:rPr>
          <w:rFonts w:asciiTheme="minorHAnsi" w:hAnsiTheme="minorHAnsi" w:cstheme="minorHAnsi"/>
          <w:color w:val="000000" w:themeColor="text1"/>
        </w:rPr>
        <w:t xml:space="preserve"> to optimise the network to accommodate local growth.</w:t>
      </w:r>
    </w:p>
    <w:p w14:paraId="3D28327B" w14:textId="7E4074F6" w:rsidR="00B109C2" w:rsidRPr="00390B8E" w:rsidRDefault="008647C9" w:rsidP="00B109C2">
      <w:pPr>
        <w:pStyle w:val="BodytextRPCbeforebullets"/>
        <w:numPr>
          <w:ilvl w:val="0"/>
          <w:numId w:val="12"/>
        </w:numPr>
        <w:ind w:left="426"/>
        <w:rPr>
          <w:color w:val="000000" w:themeColor="text1"/>
        </w:rPr>
      </w:pPr>
      <w:r w:rsidRPr="00390B8E">
        <w:rPr>
          <w:b/>
          <w:bCs/>
          <w:color w:val="000000" w:themeColor="text1"/>
        </w:rPr>
        <w:t xml:space="preserve">DER </w:t>
      </w:r>
      <w:r w:rsidR="006C52EB" w:rsidRPr="00390B8E">
        <w:rPr>
          <w:b/>
          <w:bCs/>
          <w:color w:val="000000" w:themeColor="text1"/>
        </w:rPr>
        <w:t xml:space="preserve">integration has been introduced as a new class of </w:t>
      </w:r>
      <w:proofErr w:type="spellStart"/>
      <w:r w:rsidR="006C52EB" w:rsidRPr="00390B8E">
        <w:rPr>
          <w:b/>
          <w:bCs/>
          <w:color w:val="000000" w:themeColor="text1"/>
        </w:rPr>
        <w:t>augex</w:t>
      </w:r>
      <w:proofErr w:type="spellEnd"/>
      <w:r w:rsidR="006C52EB" w:rsidRPr="00390B8E">
        <w:rPr>
          <w:b/>
          <w:bCs/>
          <w:color w:val="000000" w:themeColor="text1"/>
        </w:rPr>
        <w:t>. Customers will benefit from a</w:t>
      </w:r>
      <w:r w:rsidR="002D0A38" w:rsidRPr="00390B8E">
        <w:rPr>
          <w:b/>
          <w:bCs/>
          <w:color w:val="000000" w:themeColor="text1"/>
        </w:rPr>
        <w:t xml:space="preserve"> </w:t>
      </w:r>
      <w:r w:rsidR="006C52EB" w:rsidRPr="00390B8E">
        <w:rPr>
          <w:b/>
          <w:bCs/>
          <w:color w:val="000000" w:themeColor="text1"/>
        </w:rPr>
        <w:t xml:space="preserve">consistent approach from the distributors.  </w:t>
      </w:r>
    </w:p>
    <w:p w14:paraId="73B08C2C" w14:textId="77777777" w:rsidR="002F212B" w:rsidRPr="00390B8E" w:rsidRDefault="006C52EB" w:rsidP="00B109C2">
      <w:pPr>
        <w:pStyle w:val="BodytextRPCbeforebullets"/>
        <w:ind w:left="426"/>
        <w:rPr>
          <w:rFonts w:asciiTheme="minorHAnsi" w:hAnsiTheme="minorHAnsi" w:cstheme="minorHAnsi"/>
          <w:color w:val="000000" w:themeColor="text1"/>
        </w:rPr>
      </w:pPr>
      <w:r w:rsidRPr="00390B8E">
        <w:rPr>
          <w:rFonts w:asciiTheme="minorHAnsi" w:hAnsiTheme="minorHAnsi" w:cstheme="minorHAnsi"/>
          <w:color w:val="000000" w:themeColor="text1"/>
        </w:rPr>
        <w:t xml:space="preserve">The AER’s Value of DER study will benefit </w:t>
      </w:r>
      <w:r w:rsidR="004E69D9" w:rsidRPr="00390B8E">
        <w:rPr>
          <w:rFonts w:asciiTheme="minorHAnsi" w:hAnsiTheme="minorHAnsi" w:cstheme="minorHAnsi"/>
          <w:color w:val="000000" w:themeColor="text1"/>
        </w:rPr>
        <w:t>customers</w:t>
      </w:r>
      <w:r w:rsidRPr="00390B8E">
        <w:rPr>
          <w:rFonts w:asciiTheme="minorHAnsi" w:hAnsiTheme="minorHAnsi" w:cstheme="minorHAnsi"/>
          <w:color w:val="000000" w:themeColor="text1"/>
        </w:rPr>
        <w:t xml:space="preserve"> by establishing a </w:t>
      </w:r>
      <w:r w:rsidR="004E69D9" w:rsidRPr="00390B8E">
        <w:rPr>
          <w:rFonts w:asciiTheme="minorHAnsi" w:hAnsiTheme="minorHAnsi" w:cstheme="minorHAnsi"/>
          <w:color w:val="000000" w:themeColor="text1"/>
        </w:rPr>
        <w:t xml:space="preserve">consistent and meaningful way to value export. </w:t>
      </w:r>
    </w:p>
    <w:p w14:paraId="4A256C3A" w14:textId="28D37A56" w:rsidR="00B109C2" w:rsidRPr="00390B8E" w:rsidRDefault="004E69D9" w:rsidP="00B109C2">
      <w:pPr>
        <w:pStyle w:val="BodytextRPCbeforebullets"/>
        <w:ind w:left="426"/>
        <w:rPr>
          <w:rFonts w:asciiTheme="minorHAnsi" w:hAnsiTheme="minorHAnsi" w:cstheme="minorHAnsi"/>
          <w:color w:val="000000" w:themeColor="text1"/>
        </w:rPr>
      </w:pPr>
      <w:r w:rsidRPr="00390B8E">
        <w:rPr>
          <w:rFonts w:asciiTheme="minorHAnsi" w:hAnsiTheme="minorHAnsi" w:cstheme="minorHAnsi"/>
          <w:color w:val="000000" w:themeColor="text1"/>
        </w:rPr>
        <w:t xml:space="preserve">Customers </w:t>
      </w:r>
      <w:r w:rsidR="002F212B" w:rsidRPr="00390B8E">
        <w:rPr>
          <w:rFonts w:asciiTheme="minorHAnsi" w:hAnsiTheme="minorHAnsi" w:cstheme="minorHAnsi"/>
          <w:color w:val="000000" w:themeColor="text1"/>
        </w:rPr>
        <w:t>will</w:t>
      </w:r>
      <w:r w:rsidRPr="00390B8E">
        <w:rPr>
          <w:rFonts w:asciiTheme="minorHAnsi" w:hAnsiTheme="minorHAnsi" w:cstheme="minorHAnsi"/>
          <w:color w:val="000000" w:themeColor="text1"/>
        </w:rPr>
        <w:t xml:space="preserve"> also benefit from a detailed understanding of other aspects of the programs, including the </w:t>
      </w:r>
      <w:r w:rsidR="002F212B" w:rsidRPr="00390B8E">
        <w:rPr>
          <w:rFonts w:asciiTheme="minorHAnsi" w:hAnsiTheme="minorHAnsi" w:cstheme="minorHAnsi"/>
          <w:color w:val="000000" w:themeColor="text1"/>
        </w:rPr>
        <w:t xml:space="preserve">proposed </w:t>
      </w:r>
      <w:r w:rsidRPr="00390B8E">
        <w:rPr>
          <w:rFonts w:asciiTheme="minorHAnsi" w:hAnsiTheme="minorHAnsi" w:cstheme="minorHAnsi"/>
          <w:color w:val="000000" w:themeColor="text1"/>
        </w:rPr>
        <w:t>technology pathway</w:t>
      </w:r>
      <w:r w:rsidR="002F212B" w:rsidRPr="00390B8E">
        <w:rPr>
          <w:rFonts w:asciiTheme="minorHAnsi" w:hAnsiTheme="minorHAnsi" w:cstheme="minorHAnsi"/>
          <w:color w:val="000000" w:themeColor="text1"/>
        </w:rPr>
        <w:t xml:space="preserve"> to alleviate given </w:t>
      </w:r>
      <w:r w:rsidR="00EE7F6E" w:rsidRPr="00390B8E">
        <w:rPr>
          <w:rFonts w:asciiTheme="minorHAnsi" w:hAnsiTheme="minorHAnsi" w:cstheme="minorHAnsi"/>
          <w:color w:val="000000" w:themeColor="text1"/>
        </w:rPr>
        <w:t>constraints</w:t>
      </w:r>
      <w:r w:rsidR="00184817" w:rsidRPr="00390B8E">
        <w:rPr>
          <w:rFonts w:asciiTheme="minorHAnsi" w:hAnsiTheme="minorHAnsi" w:cstheme="minorHAnsi"/>
          <w:color w:val="000000" w:themeColor="text1"/>
        </w:rPr>
        <w:t xml:space="preserve">, and detailed assessment to confirm that the DER proposals of </w:t>
      </w:r>
      <w:r w:rsidR="00B46557" w:rsidRPr="00390B8E">
        <w:rPr>
          <w:rFonts w:asciiTheme="minorHAnsi" w:hAnsiTheme="minorHAnsi" w:cstheme="minorHAnsi"/>
          <w:color w:val="000000" w:themeColor="text1"/>
        </w:rPr>
        <w:t>AusNet</w:t>
      </w:r>
      <w:r w:rsidR="00184817" w:rsidRPr="00390B8E">
        <w:rPr>
          <w:rFonts w:asciiTheme="minorHAnsi" w:hAnsiTheme="minorHAnsi" w:cstheme="minorHAnsi"/>
          <w:color w:val="000000" w:themeColor="text1"/>
        </w:rPr>
        <w:t xml:space="preserve"> </w:t>
      </w:r>
      <w:r w:rsidR="00184817" w:rsidRPr="00390B8E">
        <w:rPr>
          <w:rFonts w:asciiTheme="minorHAnsi" w:hAnsiTheme="minorHAnsi" w:cstheme="minorHAnsi"/>
          <w:color w:val="000000" w:themeColor="text1"/>
        </w:rPr>
        <w:lastRenderedPageBreak/>
        <w:t xml:space="preserve">Services and Jemena are proportional to their specific demands, despite overall capex trends. </w:t>
      </w:r>
    </w:p>
    <w:p w14:paraId="1E27DA8B" w14:textId="2292BA12" w:rsidR="002D2625" w:rsidRPr="00390B8E" w:rsidRDefault="004E69D9" w:rsidP="004C46D8">
      <w:pPr>
        <w:pStyle w:val="BodytextRPCbeforebullets"/>
        <w:ind w:left="426"/>
        <w:rPr>
          <w:rFonts w:asciiTheme="minorHAnsi" w:hAnsiTheme="minorHAnsi" w:cstheme="minorHAnsi"/>
          <w:color w:val="000000" w:themeColor="text1"/>
        </w:rPr>
      </w:pPr>
      <w:r w:rsidRPr="00390B8E">
        <w:rPr>
          <w:rFonts w:asciiTheme="minorHAnsi" w:hAnsiTheme="minorHAnsi" w:cstheme="minorHAnsi"/>
          <w:color w:val="000000" w:themeColor="text1"/>
        </w:rPr>
        <w:t>We support the distributors’ initiatives to build the smart-grid capability needed to manage and control DER on the network.</w:t>
      </w:r>
    </w:p>
    <w:p w14:paraId="3B327181" w14:textId="7B734E12" w:rsidR="002D2625" w:rsidRPr="00390B8E" w:rsidRDefault="002D2625" w:rsidP="002D2625">
      <w:pPr>
        <w:pStyle w:val="BodytextRPCbeforebullets"/>
        <w:numPr>
          <w:ilvl w:val="0"/>
          <w:numId w:val="12"/>
        </w:numPr>
        <w:ind w:left="426"/>
        <w:rPr>
          <w:color w:val="000000" w:themeColor="text1"/>
        </w:rPr>
      </w:pPr>
      <w:r w:rsidRPr="00390B8E">
        <w:rPr>
          <w:b/>
          <w:bCs/>
          <w:color w:val="000000" w:themeColor="text1"/>
        </w:rPr>
        <w:t xml:space="preserve">Customers benefit where the </w:t>
      </w:r>
      <w:r w:rsidR="00184817" w:rsidRPr="00390B8E">
        <w:rPr>
          <w:b/>
          <w:bCs/>
          <w:color w:val="000000" w:themeColor="text1"/>
        </w:rPr>
        <w:t>Customer Service Incentive Scheme</w:t>
      </w:r>
      <w:r w:rsidR="002F212B" w:rsidRPr="00390B8E">
        <w:rPr>
          <w:b/>
          <w:bCs/>
          <w:color w:val="000000" w:themeColor="text1"/>
        </w:rPr>
        <w:t xml:space="preserve"> (CSIS)</w:t>
      </w:r>
      <w:r w:rsidRPr="00390B8E">
        <w:rPr>
          <w:b/>
          <w:bCs/>
          <w:color w:val="000000" w:themeColor="text1"/>
        </w:rPr>
        <w:t xml:space="preserve"> is based on quantif</w:t>
      </w:r>
      <w:r w:rsidR="00EE7F6E" w:rsidRPr="00390B8E">
        <w:rPr>
          <w:b/>
          <w:bCs/>
          <w:color w:val="000000" w:themeColor="text1"/>
        </w:rPr>
        <w:t>i</w:t>
      </w:r>
      <w:r w:rsidRPr="00390B8E">
        <w:rPr>
          <w:b/>
          <w:bCs/>
          <w:color w:val="000000" w:themeColor="text1"/>
        </w:rPr>
        <w:t>able and consistent metrics calibrated to reward improvement</w:t>
      </w:r>
      <w:r w:rsidR="00EE7F6E" w:rsidRPr="00390B8E">
        <w:rPr>
          <w:b/>
          <w:bCs/>
          <w:color w:val="000000" w:themeColor="text1"/>
        </w:rPr>
        <w:t>.</w:t>
      </w:r>
    </w:p>
    <w:p w14:paraId="4A537AA2" w14:textId="5B2A28FD" w:rsidR="00184817" w:rsidRPr="00390B8E" w:rsidRDefault="002D2625" w:rsidP="002D2625">
      <w:pPr>
        <w:pStyle w:val="BodytextRPCbeforebullets"/>
        <w:ind w:left="426"/>
        <w:rPr>
          <w:color w:val="000000" w:themeColor="text1"/>
        </w:rPr>
      </w:pPr>
      <w:r w:rsidRPr="00390B8E">
        <w:rPr>
          <w:color w:val="000000" w:themeColor="text1"/>
        </w:rPr>
        <w:t xml:space="preserve">Targets and rewards should be calibrated to </w:t>
      </w:r>
      <w:r w:rsidR="002F212B" w:rsidRPr="00390B8E">
        <w:rPr>
          <w:color w:val="000000" w:themeColor="text1"/>
        </w:rPr>
        <w:t>support</w:t>
      </w:r>
      <w:r w:rsidRPr="00390B8E">
        <w:rPr>
          <w:color w:val="000000" w:themeColor="text1"/>
        </w:rPr>
        <w:t xml:space="preserve"> ongoing improvement, and avoid </w:t>
      </w:r>
      <w:r w:rsidR="002F212B" w:rsidRPr="00390B8E">
        <w:rPr>
          <w:color w:val="000000" w:themeColor="text1"/>
        </w:rPr>
        <w:t>delivering bonus</w:t>
      </w:r>
      <w:r w:rsidRPr="00390B8E">
        <w:rPr>
          <w:color w:val="000000" w:themeColor="text1"/>
        </w:rPr>
        <w:t xml:space="preserve"> revenue for </w:t>
      </w:r>
      <w:r w:rsidR="00EE7F6E" w:rsidRPr="00390B8E">
        <w:rPr>
          <w:color w:val="000000" w:themeColor="text1"/>
        </w:rPr>
        <w:t>maintaining</w:t>
      </w:r>
      <w:r w:rsidRPr="00390B8E">
        <w:rPr>
          <w:color w:val="000000" w:themeColor="text1"/>
        </w:rPr>
        <w:t xml:space="preserve"> the status quo.</w:t>
      </w:r>
      <w:r w:rsidRPr="00390B8E">
        <w:rPr>
          <w:b/>
          <w:bCs/>
          <w:color w:val="000000" w:themeColor="text1"/>
        </w:rPr>
        <w:t xml:space="preserve"> </w:t>
      </w:r>
    </w:p>
    <w:p w14:paraId="7C17EC72" w14:textId="281C4C82" w:rsidR="00184817" w:rsidRPr="00390B8E" w:rsidRDefault="007E6968" w:rsidP="004C46D8">
      <w:pPr>
        <w:pStyle w:val="BodytextRPCbeforebullets"/>
        <w:numPr>
          <w:ilvl w:val="0"/>
          <w:numId w:val="12"/>
        </w:numPr>
        <w:ind w:left="426"/>
        <w:rPr>
          <w:color w:val="000000" w:themeColor="text1"/>
        </w:rPr>
      </w:pPr>
      <w:r w:rsidRPr="00390B8E">
        <w:rPr>
          <w:b/>
          <w:bCs/>
          <w:color w:val="000000" w:themeColor="text1"/>
        </w:rPr>
        <w:t xml:space="preserve">Where there are </w:t>
      </w:r>
      <w:r w:rsidR="00EE7F6E" w:rsidRPr="00390B8E">
        <w:rPr>
          <w:b/>
          <w:bCs/>
          <w:color w:val="000000" w:themeColor="text1"/>
        </w:rPr>
        <w:t>inconsistencies</w:t>
      </w:r>
      <w:r w:rsidR="004C46D8" w:rsidRPr="00390B8E">
        <w:rPr>
          <w:b/>
          <w:bCs/>
          <w:color w:val="000000" w:themeColor="text1"/>
        </w:rPr>
        <w:t xml:space="preserve"> between depreciation and </w:t>
      </w:r>
      <w:proofErr w:type="spellStart"/>
      <w:r w:rsidR="004C46D8" w:rsidRPr="00390B8E">
        <w:rPr>
          <w:b/>
          <w:bCs/>
          <w:color w:val="000000" w:themeColor="text1"/>
        </w:rPr>
        <w:t>repex</w:t>
      </w:r>
      <w:proofErr w:type="spellEnd"/>
      <w:r w:rsidR="004C46D8" w:rsidRPr="00390B8E">
        <w:rPr>
          <w:b/>
          <w:bCs/>
          <w:color w:val="000000" w:themeColor="text1"/>
        </w:rPr>
        <w:t xml:space="preserve"> schedules, and </w:t>
      </w:r>
      <w:r w:rsidRPr="00390B8E">
        <w:rPr>
          <w:b/>
          <w:bCs/>
          <w:color w:val="000000" w:themeColor="text1"/>
        </w:rPr>
        <w:t xml:space="preserve">in the schedules of different </w:t>
      </w:r>
      <w:r w:rsidR="004C46D8" w:rsidRPr="00390B8E">
        <w:rPr>
          <w:b/>
          <w:bCs/>
          <w:color w:val="000000" w:themeColor="text1"/>
        </w:rPr>
        <w:t>distributors</w:t>
      </w:r>
      <w:r w:rsidRPr="00390B8E">
        <w:rPr>
          <w:b/>
          <w:bCs/>
          <w:color w:val="000000" w:themeColor="text1"/>
        </w:rPr>
        <w:t xml:space="preserve"> </w:t>
      </w:r>
      <w:r w:rsidR="004C46D8" w:rsidRPr="00390B8E">
        <w:rPr>
          <w:b/>
          <w:bCs/>
          <w:color w:val="000000" w:themeColor="text1"/>
        </w:rPr>
        <w:t xml:space="preserve">after the impact of asset class aggregation is </w:t>
      </w:r>
      <w:r w:rsidRPr="00390B8E">
        <w:rPr>
          <w:b/>
          <w:bCs/>
          <w:color w:val="000000" w:themeColor="text1"/>
        </w:rPr>
        <w:t xml:space="preserve">considered, customers will benefit from establishing standard values. </w:t>
      </w:r>
    </w:p>
    <w:p w14:paraId="64BB4D90" w14:textId="67F681AA" w:rsidR="007E6968" w:rsidRPr="00390B8E" w:rsidRDefault="007E6968" w:rsidP="00851BF7">
      <w:pPr>
        <w:pStyle w:val="BodytextRPCbeforebullets"/>
        <w:ind w:left="426"/>
        <w:rPr>
          <w:color w:val="000000" w:themeColor="text1"/>
        </w:rPr>
      </w:pPr>
      <w:r w:rsidRPr="00390B8E">
        <w:rPr>
          <w:color w:val="000000" w:themeColor="text1"/>
        </w:rPr>
        <w:t xml:space="preserve">The AER has suggested that apparent inconsistencies in depreciation and </w:t>
      </w:r>
      <w:proofErr w:type="spellStart"/>
      <w:r w:rsidRPr="00390B8E">
        <w:rPr>
          <w:color w:val="000000" w:themeColor="text1"/>
        </w:rPr>
        <w:t>repex</w:t>
      </w:r>
      <w:proofErr w:type="spellEnd"/>
      <w:r w:rsidRPr="00390B8E">
        <w:rPr>
          <w:color w:val="000000" w:themeColor="text1"/>
        </w:rPr>
        <w:t xml:space="preserve"> schedules are likely to be due to asset class aggregation. Where material differences</w:t>
      </w:r>
      <w:r w:rsidR="00EE7F6E" w:rsidRPr="00390B8E">
        <w:rPr>
          <w:color w:val="000000" w:themeColor="text1"/>
        </w:rPr>
        <w:t xml:space="preserve"> remain</w:t>
      </w:r>
      <w:r w:rsidRPr="00390B8E">
        <w:rPr>
          <w:color w:val="000000" w:themeColor="text1"/>
        </w:rPr>
        <w:t xml:space="preserve">, customers will benefit from optimal and standard values being established across the state. </w:t>
      </w:r>
    </w:p>
    <w:p w14:paraId="11941254" w14:textId="28927121" w:rsidR="00CB1C5A" w:rsidRPr="00390B8E" w:rsidRDefault="007E6968" w:rsidP="00CB1C5A">
      <w:pPr>
        <w:pStyle w:val="BodytextRPCbeforebullets"/>
        <w:numPr>
          <w:ilvl w:val="0"/>
          <w:numId w:val="12"/>
        </w:numPr>
        <w:ind w:left="426"/>
        <w:rPr>
          <w:bCs/>
          <w:color w:val="000000" w:themeColor="text1"/>
        </w:rPr>
      </w:pPr>
      <w:r w:rsidRPr="00390B8E">
        <w:rPr>
          <w:b/>
          <w:bCs/>
          <w:color w:val="000000" w:themeColor="text1"/>
        </w:rPr>
        <w:t xml:space="preserve">The </w:t>
      </w:r>
      <w:r w:rsidR="00CB1C5A" w:rsidRPr="00390B8E">
        <w:rPr>
          <w:b/>
          <w:bCs/>
          <w:color w:val="000000" w:themeColor="text1"/>
        </w:rPr>
        <w:t xml:space="preserve">Environmental Protection Amendment Act </w:t>
      </w:r>
      <w:r w:rsidR="00EE7F6E" w:rsidRPr="00390B8E">
        <w:rPr>
          <w:b/>
          <w:bCs/>
          <w:color w:val="000000" w:themeColor="text1"/>
        </w:rPr>
        <w:t xml:space="preserve">(EPAA) </w:t>
      </w:r>
      <w:r w:rsidRPr="00390B8E">
        <w:rPr>
          <w:b/>
          <w:bCs/>
          <w:color w:val="000000" w:themeColor="text1"/>
        </w:rPr>
        <w:t xml:space="preserve">should not be </w:t>
      </w:r>
      <w:r w:rsidR="00CB1C5A" w:rsidRPr="00390B8E">
        <w:rPr>
          <w:b/>
          <w:bCs/>
          <w:color w:val="000000" w:themeColor="text1"/>
        </w:rPr>
        <w:t>designated for potential pass through</w:t>
      </w:r>
      <w:r w:rsidRPr="00390B8E">
        <w:rPr>
          <w:b/>
          <w:bCs/>
          <w:color w:val="000000" w:themeColor="text1"/>
        </w:rPr>
        <w:t xml:space="preserve"> before stakeholders have established that the Regulations </w:t>
      </w:r>
      <w:r w:rsidR="00851BF7" w:rsidRPr="00390B8E">
        <w:rPr>
          <w:b/>
          <w:bCs/>
          <w:color w:val="000000" w:themeColor="text1"/>
        </w:rPr>
        <w:t>are considered and</w:t>
      </w:r>
      <w:r w:rsidRPr="00390B8E">
        <w:rPr>
          <w:b/>
          <w:bCs/>
          <w:color w:val="000000" w:themeColor="text1"/>
        </w:rPr>
        <w:t xml:space="preserve"> fit-for-purpose</w:t>
      </w:r>
      <w:r w:rsidR="00851BF7" w:rsidRPr="00390B8E">
        <w:rPr>
          <w:b/>
          <w:bCs/>
          <w:color w:val="000000" w:themeColor="text1"/>
        </w:rPr>
        <w:t xml:space="preserve"> for distribution infrastructure. </w:t>
      </w:r>
      <w:r w:rsidRPr="00390B8E">
        <w:rPr>
          <w:b/>
          <w:bCs/>
          <w:color w:val="000000" w:themeColor="text1"/>
        </w:rPr>
        <w:t xml:space="preserve"> </w:t>
      </w:r>
    </w:p>
    <w:p w14:paraId="3985A98F" w14:textId="6F75D535" w:rsidR="007E6968" w:rsidRPr="00390B8E" w:rsidRDefault="00CB1C5A" w:rsidP="007E6968">
      <w:pPr>
        <w:pStyle w:val="BodytextRPCbeforebullets"/>
        <w:ind w:left="426"/>
        <w:rPr>
          <w:color w:val="000000" w:themeColor="text1"/>
        </w:rPr>
      </w:pPr>
      <w:r w:rsidRPr="00390B8E">
        <w:rPr>
          <w:color w:val="000000" w:themeColor="text1"/>
        </w:rPr>
        <w:t>Stakeholders shared concerns about</w:t>
      </w:r>
      <w:r w:rsidR="007E6968" w:rsidRPr="00390B8E">
        <w:rPr>
          <w:color w:val="000000" w:themeColor="text1"/>
        </w:rPr>
        <w:t xml:space="preserve"> the</w:t>
      </w:r>
      <w:r w:rsidRPr="00390B8E">
        <w:rPr>
          <w:color w:val="000000" w:themeColor="text1"/>
        </w:rPr>
        <w:t xml:space="preserve"> original </w:t>
      </w:r>
      <w:r w:rsidR="007E6968" w:rsidRPr="00390B8E">
        <w:rPr>
          <w:color w:val="000000" w:themeColor="text1"/>
        </w:rPr>
        <w:t xml:space="preserve">proposed </w:t>
      </w:r>
      <w:r w:rsidRPr="00390B8E">
        <w:rPr>
          <w:color w:val="000000" w:themeColor="text1"/>
        </w:rPr>
        <w:t xml:space="preserve">expenditure </w:t>
      </w:r>
      <w:r w:rsidR="007E6968" w:rsidRPr="00390B8E">
        <w:rPr>
          <w:color w:val="000000" w:themeColor="text1"/>
        </w:rPr>
        <w:t>by the CPPALUE networks to meet</w:t>
      </w:r>
      <w:r w:rsidRPr="00390B8E">
        <w:rPr>
          <w:color w:val="000000" w:themeColor="text1"/>
        </w:rPr>
        <w:t xml:space="preserve"> EPAA changes</w:t>
      </w:r>
      <w:r w:rsidR="007E6968" w:rsidRPr="00390B8E">
        <w:rPr>
          <w:color w:val="000000" w:themeColor="text1"/>
        </w:rPr>
        <w:t xml:space="preserve"> – these provisions in the initial proposals were withdrawn, and the question of suitability was not resolved.</w:t>
      </w:r>
    </w:p>
    <w:p w14:paraId="339C6323" w14:textId="0AB279CE" w:rsidR="00CB1C5A" w:rsidRPr="00390B8E" w:rsidRDefault="00851BF7" w:rsidP="007E6968">
      <w:pPr>
        <w:pStyle w:val="BodytextRPCbeforebullets"/>
        <w:ind w:left="426"/>
        <w:rPr>
          <w:color w:val="000000" w:themeColor="text1"/>
        </w:rPr>
      </w:pPr>
      <w:r w:rsidRPr="00390B8E">
        <w:rPr>
          <w:color w:val="000000" w:themeColor="text1"/>
        </w:rPr>
        <w:t>Distributors should be proactive in engaging and including</w:t>
      </w:r>
      <w:r w:rsidR="00CB1C5A" w:rsidRPr="00390B8E">
        <w:rPr>
          <w:color w:val="000000" w:themeColor="text1"/>
        </w:rPr>
        <w:t xml:space="preserve"> stakeholders </w:t>
      </w:r>
      <w:r w:rsidRPr="00390B8E">
        <w:rPr>
          <w:color w:val="000000" w:themeColor="text1"/>
        </w:rPr>
        <w:t>to determine</w:t>
      </w:r>
      <w:r w:rsidR="00CB1C5A" w:rsidRPr="00390B8E">
        <w:rPr>
          <w:color w:val="000000" w:themeColor="text1"/>
        </w:rPr>
        <w:t xml:space="preserve"> that Regulations </w:t>
      </w:r>
      <w:r w:rsidRPr="00390B8E">
        <w:rPr>
          <w:color w:val="000000" w:themeColor="text1"/>
        </w:rPr>
        <w:t xml:space="preserve">are designed to </w:t>
      </w:r>
      <w:r w:rsidR="001D1123" w:rsidRPr="00390B8E">
        <w:rPr>
          <w:color w:val="000000" w:themeColor="text1"/>
        </w:rPr>
        <w:t>manage</w:t>
      </w:r>
      <w:r w:rsidR="00CB1C5A" w:rsidRPr="00390B8E">
        <w:rPr>
          <w:color w:val="000000" w:themeColor="text1"/>
        </w:rPr>
        <w:t xml:space="preserve"> distribution infrastructure</w:t>
      </w:r>
      <w:r w:rsidR="001D1123" w:rsidRPr="00390B8E">
        <w:rPr>
          <w:color w:val="000000" w:themeColor="text1"/>
        </w:rPr>
        <w:t xml:space="preserve"> appropriately. Without this process</w:t>
      </w:r>
      <w:r w:rsidR="00CB1C5A" w:rsidRPr="00390B8E">
        <w:rPr>
          <w:color w:val="000000" w:themeColor="text1"/>
        </w:rPr>
        <w:t xml:space="preserve">, we don’t support a pass through for this legislation.  </w:t>
      </w:r>
    </w:p>
    <w:p w14:paraId="00686311" w14:textId="30CDE0A7" w:rsidR="001D1123" w:rsidRPr="00390B8E" w:rsidRDefault="009F1315" w:rsidP="00521452">
      <w:pPr>
        <w:pStyle w:val="BodytextRPCbeforebullets"/>
        <w:numPr>
          <w:ilvl w:val="0"/>
          <w:numId w:val="12"/>
        </w:numPr>
        <w:ind w:left="426"/>
        <w:rPr>
          <w:color w:val="000000" w:themeColor="text1"/>
        </w:rPr>
      </w:pPr>
      <w:r w:rsidRPr="00390B8E">
        <w:rPr>
          <w:b/>
          <w:bCs/>
          <w:color w:val="000000" w:themeColor="text1"/>
        </w:rPr>
        <w:t>The AER’s suggestion to extend opt-out Time-of-Use (TOU) tariff assignment to legacy TOU customers is a sensible measure to reduce complexity.</w:t>
      </w:r>
    </w:p>
    <w:p w14:paraId="65303F88" w14:textId="149F342B" w:rsidR="001D1123" w:rsidRPr="00390B8E" w:rsidRDefault="001D1123" w:rsidP="001D1123">
      <w:pPr>
        <w:pStyle w:val="BodytextRPCbeforebullets"/>
        <w:ind w:left="426"/>
        <w:rPr>
          <w:color w:val="000000" w:themeColor="text1"/>
        </w:rPr>
      </w:pPr>
      <w:r w:rsidRPr="00390B8E">
        <w:rPr>
          <w:color w:val="000000" w:themeColor="text1"/>
        </w:rPr>
        <w:t xml:space="preserve">We support this addition to the opt-out assignment policy. </w:t>
      </w:r>
    </w:p>
    <w:p w14:paraId="3F7AC378" w14:textId="7BF2A7B7" w:rsidR="001D1123" w:rsidRPr="00390B8E" w:rsidRDefault="001D1123" w:rsidP="001D1123">
      <w:pPr>
        <w:pStyle w:val="BodytextRPCbeforebullets"/>
        <w:numPr>
          <w:ilvl w:val="0"/>
          <w:numId w:val="12"/>
        </w:numPr>
        <w:ind w:left="426"/>
        <w:rPr>
          <w:color w:val="000000" w:themeColor="text1"/>
        </w:rPr>
      </w:pPr>
      <w:r w:rsidRPr="00390B8E">
        <w:rPr>
          <w:b/>
          <w:bCs/>
          <w:color w:val="000000" w:themeColor="text1"/>
        </w:rPr>
        <w:t>We are concerned about the potential implications of the ongoing trend towards higher fixed charges for residential tariffs.</w:t>
      </w:r>
    </w:p>
    <w:p w14:paraId="0CED52F3" w14:textId="4C25D575" w:rsidR="00EE795A" w:rsidRPr="00390B8E" w:rsidRDefault="001D1123" w:rsidP="001D1123">
      <w:pPr>
        <w:pStyle w:val="BodytextRPCbeforebullets"/>
        <w:ind w:left="426"/>
        <w:rPr>
          <w:color w:val="000000" w:themeColor="text1"/>
        </w:rPr>
      </w:pPr>
      <w:r w:rsidRPr="00390B8E">
        <w:rPr>
          <w:color w:val="000000" w:themeColor="text1"/>
        </w:rPr>
        <w:t xml:space="preserve">Increasing the fixed proportion of </w:t>
      </w:r>
      <w:r w:rsidR="00414D91" w:rsidRPr="00390B8E">
        <w:rPr>
          <w:color w:val="000000" w:themeColor="text1"/>
        </w:rPr>
        <w:t xml:space="preserve">tariffs will benefit those with high </w:t>
      </w:r>
      <w:r w:rsidR="00EE795A" w:rsidRPr="00390B8E">
        <w:rPr>
          <w:color w:val="000000" w:themeColor="text1"/>
        </w:rPr>
        <w:t xml:space="preserve">loads. </w:t>
      </w:r>
      <w:r w:rsidR="00EE7F6E" w:rsidRPr="00390B8E">
        <w:rPr>
          <w:color w:val="000000" w:themeColor="text1"/>
        </w:rPr>
        <w:t>While s</w:t>
      </w:r>
      <w:r w:rsidR="00EE795A" w:rsidRPr="00390B8E">
        <w:rPr>
          <w:color w:val="000000" w:themeColor="text1"/>
        </w:rPr>
        <w:t xml:space="preserve">ome types of vulnerable customers </w:t>
      </w:r>
      <w:r w:rsidR="00EE7F6E" w:rsidRPr="00390B8E">
        <w:rPr>
          <w:color w:val="000000" w:themeColor="text1"/>
        </w:rPr>
        <w:t>may</w:t>
      </w:r>
      <w:r w:rsidR="00EE795A" w:rsidRPr="00390B8E">
        <w:rPr>
          <w:color w:val="000000" w:themeColor="text1"/>
        </w:rPr>
        <w:t xml:space="preserve"> have high loads, other</w:t>
      </w:r>
      <w:r w:rsidR="00EE7F6E" w:rsidRPr="00390B8E">
        <w:rPr>
          <w:color w:val="000000" w:themeColor="text1"/>
        </w:rPr>
        <w:t xml:space="preserve">s </w:t>
      </w:r>
      <w:r w:rsidR="00EE795A" w:rsidRPr="00390B8E">
        <w:rPr>
          <w:color w:val="000000" w:themeColor="text1"/>
        </w:rPr>
        <w:t>have lower-than-average</w:t>
      </w:r>
      <w:r w:rsidR="00414D91" w:rsidRPr="00390B8E">
        <w:rPr>
          <w:color w:val="000000" w:themeColor="text1"/>
        </w:rPr>
        <w:t xml:space="preserve"> </w:t>
      </w:r>
      <w:r w:rsidR="00EE795A" w:rsidRPr="00390B8E">
        <w:rPr>
          <w:color w:val="000000" w:themeColor="text1"/>
        </w:rPr>
        <w:t>loads.</w:t>
      </w:r>
      <w:r w:rsidR="00EE795A" w:rsidRPr="00390B8E">
        <w:rPr>
          <w:rStyle w:val="FootnoteReference"/>
          <w:color w:val="000000" w:themeColor="text1"/>
        </w:rPr>
        <w:footnoteReference w:id="4"/>
      </w:r>
    </w:p>
    <w:p w14:paraId="22B40CB7" w14:textId="04AE0B98" w:rsidR="001D1123" w:rsidRPr="00390B8E" w:rsidRDefault="00414D91" w:rsidP="001D1123">
      <w:pPr>
        <w:pStyle w:val="BodytextRPCbeforebullets"/>
        <w:ind w:left="426"/>
        <w:rPr>
          <w:color w:val="000000" w:themeColor="text1"/>
        </w:rPr>
      </w:pPr>
      <w:r w:rsidRPr="00390B8E">
        <w:rPr>
          <w:color w:val="000000" w:themeColor="text1"/>
        </w:rPr>
        <w:lastRenderedPageBreak/>
        <w:t xml:space="preserve">We are concerned that </w:t>
      </w:r>
      <w:r w:rsidR="000C736C" w:rsidRPr="00390B8E">
        <w:rPr>
          <w:color w:val="000000" w:themeColor="text1"/>
        </w:rPr>
        <w:t>the shift towards higher fixed charges is continuing</w:t>
      </w:r>
      <w:r w:rsidRPr="00390B8E">
        <w:rPr>
          <w:color w:val="000000" w:themeColor="text1"/>
        </w:rPr>
        <w:t xml:space="preserve"> without the level of understanding of the relationship between consumption patterns and economic wellbeing that </w:t>
      </w:r>
      <w:r w:rsidR="000C736C" w:rsidRPr="00390B8E">
        <w:rPr>
          <w:color w:val="000000" w:themeColor="text1"/>
        </w:rPr>
        <w:t>is necessary</w:t>
      </w:r>
      <w:r w:rsidRPr="00390B8E">
        <w:rPr>
          <w:color w:val="000000" w:themeColor="text1"/>
        </w:rPr>
        <w:t xml:space="preserve"> to </w:t>
      </w:r>
      <w:r w:rsidR="00EE795A" w:rsidRPr="00390B8E">
        <w:rPr>
          <w:color w:val="000000" w:themeColor="text1"/>
        </w:rPr>
        <w:t xml:space="preserve">satisfactorily </w:t>
      </w:r>
      <w:r w:rsidRPr="00390B8E">
        <w:rPr>
          <w:color w:val="000000" w:themeColor="text1"/>
        </w:rPr>
        <w:t xml:space="preserve">understand </w:t>
      </w:r>
      <w:r w:rsidR="000C736C" w:rsidRPr="00390B8E">
        <w:rPr>
          <w:color w:val="000000" w:themeColor="text1"/>
        </w:rPr>
        <w:t>the</w:t>
      </w:r>
      <w:r w:rsidRPr="00390B8E">
        <w:rPr>
          <w:color w:val="000000" w:themeColor="text1"/>
        </w:rPr>
        <w:t xml:space="preserve"> impacts</w:t>
      </w:r>
      <w:r w:rsidR="002C3D8E" w:rsidRPr="00390B8E">
        <w:rPr>
          <w:color w:val="000000" w:themeColor="text1"/>
        </w:rPr>
        <w:t>.</w:t>
      </w:r>
      <w:r w:rsidRPr="00390B8E">
        <w:rPr>
          <w:color w:val="000000" w:themeColor="text1"/>
        </w:rPr>
        <w:t xml:space="preserve">  </w:t>
      </w:r>
    </w:p>
    <w:p w14:paraId="3D9D51B2" w14:textId="1DEC99EB" w:rsidR="005E17E0" w:rsidRPr="00390B8E" w:rsidRDefault="005E17E0" w:rsidP="005E17E0">
      <w:pPr>
        <w:pStyle w:val="BodytextRPCbeforebullets"/>
        <w:numPr>
          <w:ilvl w:val="0"/>
          <w:numId w:val="12"/>
        </w:numPr>
        <w:ind w:left="426"/>
        <w:rPr>
          <w:color w:val="000000" w:themeColor="text1"/>
        </w:rPr>
      </w:pPr>
      <w:r w:rsidRPr="00390B8E">
        <w:rPr>
          <w:b/>
          <w:bCs/>
          <w:color w:val="000000" w:themeColor="text1"/>
        </w:rPr>
        <w:t xml:space="preserve">We support </w:t>
      </w:r>
      <w:r w:rsidR="00414D91" w:rsidRPr="00390B8E">
        <w:rPr>
          <w:b/>
          <w:bCs/>
          <w:color w:val="000000" w:themeColor="text1"/>
        </w:rPr>
        <w:t>a grid-scale battery tariff that would</w:t>
      </w:r>
      <w:r w:rsidRPr="00390B8E">
        <w:rPr>
          <w:b/>
          <w:bCs/>
          <w:color w:val="000000" w:themeColor="text1"/>
        </w:rPr>
        <w:t xml:space="preserve"> </w:t>
      </w:r>
      <w:r w:rsidR="00414D91" w:rsidRPr="00390B8E">
        <w:rPr>
          <w:b/>
          <w:bCs/>
          <w:color w:val="000000" w:themeColor="text1"/>
        </w:rPr>
        <w:t>allow this technology</w:t>
      </w:r>
      <w:r w:rsidRPr="00390B8E">
        <w:rPr>
          <w:b/>
          <w:bCs/>
          <w:color w:val="000000" w:themeColor="text1"/>
        </w:rPr>
        <w:t xml:space="preserve"> to be </w:t>
      </w:r>
      <w:r w:rsidR="00772365" w:rsidRPr="00390B8E">
        <w:rPr>
          <w:b/>
          <w:bCs/>
          <w:color w:val="000000" w:themeColor="text1"/>
        </w:rPr>
        <w:t xml:space="preserve">fully </w:t>
      </w:r>
      <w:r w:rsidR="00866BDD" w:rsidRPr="00390B8E">
        <w:rPr>
          <w:b/>
          <w:bCs/>
          <w:color w:val="000000" w:themeColor="text1"/>
        </w:rPr>
        <w:t xml:space="preserve">evaluated against alternative technologies, and that would enable its deployment on the distribution network. </w:t>
      </w:r>
      <w:r w:rsidR="00414D91" w:rsidRPr="00390B8E">
        <w:rPr>
          <w:b/>
          <w:bCs/>
          <w:color w:val="000000" w:themeColor="text1"/>
        </w:rPr>
        <w:t xml:space="preserve"> </w:t>
      </w:r>
    </w:p>
    <w:p w14:paraId="66D88725" w14:textId="77777777" w:rsidR="00772365" w:rsidRPr="00390B8E" w:rsidRDefault="005E17E0" w:rsidP="00E4336D">
      <w:pPr>
        <w:pStyle w:val="BodytextRPCbeforebullets"/>
        <w:ind w:left="426"/>
        <w:rPr>
          <w:color w:val="000000" w:themeColor="text1"/>
        </w:rPr>
      </w:pPr>
      <w:r w:rsidRPr="00390B8E">
        <w:rPr>
          <w:color w:val="000000" w:themeColor="text1"/>
        </w:rPr>
        <w:t xml:space="preserve">Option 2 and 4 proposed by the AER </w:t>
      </w:r>
      <w:r w:rsidR="00866BDD" w:rsidRPr="00390B8E">
        <w:rPr>
          <w:color w:val="000000" w:themeColor="text1"/>
        </w:rPr>
        <w:t>have the potential to</w:t>
      </w:r>
      <w:r w:rsidRPr="00390B8E">
        <w:rPr>
          <w:color w:val="000000" w:themeColor="text1"/>
        </w:rPr>
        <w:t xml:space="preserve"> be pragmatic solutions </w:t>
      </w:r>
      <w:r w:rsidR="00866BDD" w:rsidRPr="00390B8E">
        <w:rPr>
          <w:color w:val="000000" w:themeColor="text1"/>
        </w:rPr>
        <w:t>that would allow grid-scale batteries to be introduced to the distribution network in a</w:t>
      </w:r>
      <w:r w:rsidR="00772365" w:rsidRPr="00390B8E">
        <w:rPr>
          <w:color w:val="000000" w:themeColor="text1"/>
        </w:rPr>
        <w:t>n appropriate</w:t>
      </w:r>
      <w:r w:rsidR="00866BDD" w:rsidRPr="00390B8E">
        <w:rPr>
          <w:color w:val="000000" w:themeColor="text1"/>
        </w:rPr>
        <w:t xml:space="preserve"> cost-reflective manner.</w:t>
      </w:r>
      <w:r w:rsidRPr="00390B8E">
        <w:rPr>
          <w:color w:val="000000" w:themeColor="text1"/>
        </w:rPr>
        <w:t xml:space="preserve"> </w:t>
      </w:r>
    </w:p>
    <w:p w14:paraId="26D467C2" w14:textId="1CFB116F" w:rsidR="005E17E0" w:rsidRPr="00390B8E" w:rsidRDefault="005E17E0" w:rsidP="00E4336D">
      <w:pPr>
        <w:pStyle w:val="BodytextRPCbeforebullets"/>
        <w:ind w:left="426"/>
        <w:rPr>
          <w:color w:val="000000" w:themeColor="text1"/>
        </w:rPr>
      </w:pPr>
      <w:r w:rsidRPr="00390B8E">
        <w:rPr>
          <w:color w:val="000000" w:themeColor="text1"/>
        </w:rPr>
        <w:t xml:space="preserve">We support </w:t>
      </w:r>
      <w:r w:rsidR="00370DA2" w:rsidRPr="00390B8E">
        <w:rPr>
          <w:color w:val="000000" w:themeColor="text1"/>
        </w:rPr>
        <w:t>the establishment of a</w:t>
      </w:r>
      <w:r w:rsidRPr="00390B8E">
        <w:rPr>
          <w:color w:val="000000" w:themeColor="text1"/>
        </w:rPr>
        <w:t xml:space="preserve"> consistent app</w:t>
      </w:r>
      <w:r w:rsidR="007009D5" w:rsidRPr="00390B8E">
        <w:rPr>
          <w:color w:val="000000" w:themeColor="text1"/>
        </w:rPr>
        <w:t>roach between networks.</w:t>
      </w:r>
    </w:p>
    <w:p w14:paraId="691A7042" w14:textId="77777777" w:rsidR="0039105E" w:rsidRPr="00390B8E" w:rsidRDefault="0039105E" w:rsidP="00D63876">
      <w:pPr>
        <w:pStyle w:val="BodytextRPC"/>
        <w:rPr>
          <w:bCs/>
          <w:color w:val="000000" w:themeColor="text1"/>
        </w:rPr>
      </w:pPr>
    </w:p>
    <w:p w14:paraId="376D80BE" w14:textId="6582CB70" w:rsidR="00CC38B1" w:rsidRPr="00390B8E" w:rsidRDefault="00BE7D12" w:rsidP="009D6832">
      <w:pPr>
        <w:pStyle w:val="Heading1"/>
        <w:numPr>
          <w:ilvl w:val="0"/>
          <w:numId w:val="11"/>
        </w:numPr>
      </w:pPr>
      <w:bookmarkStart w:id="9" w:name="_Toc61341264"/>
      <w:r w:rsidRPr="00390B8E">
        <w:t>The AER’s draft determination re</w:t>
      </w:r>
      <w:r w:rsidR="00B81833" w:rsidRPr="00390B8E">
        <w:t>sponds to stakeholder concerns</w:t>
      </w:r>
      <w:bookmarkEnd w:id="9"/>
    </w:p>
    <w:p w14:paraId="504A2848" w14:textId="40A0A7A2" w:rsidR="00F70902" w:rsidRPr="00390B8E" w:rsidRDefault="009D6832" w:rsidP="00F70902">
      <w:pPr>
        <w:pStyle w:val="BodytextRPCbeforebullets"/>
        <w:ind w:left="426"/>
        <w:rPr>
          <w:color w:val="000000" w:themeColor="text1"/>
        </w:rPr>
      </w:pPr>
      <w:r w:rsidRPr="00390B8E">
        <w:rPr>
          <w:color w:val="000000" w:themeColor="text1"/>
        </w:rPr>
        <w:t xml:space="preserve">The AER’s determination </w:t>
      </w:r>
      <w:r w:rsidR="009849F9" w:rsidRPr="00390B8E">
        <w:rPr>
          <w:color w:val="000000" w:themeColor="text1"/>
        </w:rPr>
        <w:t>acknowledged many of the</w:t>
      </w:r>
      <w:r w:rsidRPr="00390B8E">
        <w:rPr>
          <w:color w:val="000000" w:themeColor="text1"/>
        </w:rPr>
        <w:t xml:space="preserve"> concerns raised by </w:t>
      </w:r>
      <w:r w:rsidR="005A36F4" w:rsidRPr="00390B8E">
        <w:rPr>
          <w:color w:val="000000" w:themeColor="text1"/>
        </w:rPr>
        <w:t>VCO</w:t>
      </w:r>
      <w:r w:rsidRPr="00390B8E">
        <w:rPr>
          <w:color w:val="000000" w:themeColor="text1"/>
        </w:rPr>
        <w:t xml:space="preserve"> and other stakeholders</w:t>
      </w:r>
      <w:r w:rsidR="009849F9" w:rsidRPr="00390B8E">
        <w:rPr>
          <w:color w:val="000000" w:themeColor="text1"/>
        </w:rPr>
        <w:t>. In particular:</w:t>
      </w:r>
    </w:p>
    <w:p w14:paraId="47F83FB4" w14:textId="7913E91B" w:rsidR="00F70902" w:rsidRPr="00390B8E" w:rsidRDefault="009849F9" w:rsidP="000F32EE">
      <w:pPr>
        <w:pStyle w:val="BodytextRPCbeforebullets"/>
        <w:numPr>
          <w:ilvl w:val="0"/>
          <w:numId w:val="19"/>
        </w:numPr>
        <w:rPr>
          <w:color w:val="000000" w:themeColor="text1"/>
        </w:rPr>
      </w:pPr>
      <w:r w:rsidRPr="00390B8E">
        <w:rPr>
          <w:color w:val="000000" w:themeColor="text1"/>
        </w:rPr>
        <w:t>The AER has confirmed they are</w:t>
      </w:r>
      <w:r w:rsidR="00F70902" w:rsidRPr="00390B8E">
        <w:rPr>
          <w:color w:val="000000" w:themeColor="text1"/>
        </w:rPr>
        <w:t xml:space="preserve"> scoping a broad review of </w:t>
      </w:r>
      <w:r w:rsidRPr="00390B8E">
        <w:rPr>
          <w:color w:val="000000" w:themeColor="text1"/>
        </w:rPr>
        <w:t>incentive schemes.</w:t>
      </w:r>
    </w:p>
    <w:p w14:paraId="19B0A54C" w14:textId="42CDF70B" w:rsidR="00F70902" w:rsidRPr="00390B8E" w:rsidRDefault="00F70902" w:rsidP="000F32EE">
      <w:pPr>
        <w:pStyle w:val="BodytextRPCbeforebullets"/>
        <w:numPr>
          <w:ilvl w:val="0"/>
          <w:numId w:val="19"/>
        </w:numPr>
        <w:rPr>
          <w:color w:val="000000" w:themeColor="text1"/>
        </w:rPr>
      </w:pPr>
      <w:r w:rsidRPr="00390B8E">
        <w:rPr>
          <w:color w:val="000000" w:themeColor="text1"/>
        </w:rPr>
        <w:t xml:space="preserve">The AER </w:t>
      </w:r>
      <w:r w:rsidR="009849F9" w:rsidRPr="00390B8E">
        <w:rPr>
          <w:color w:val="000000" w:themeColor="text1"/>
        </w:rPr>
        <w:t>has acknowledged</w:t>
      </w:r>
      <w:r w:rsidRPr="00390B8E">
        <w:rPr>
          <w:color w:val="000000" w:themeColor="text1"/>
        </w:rPr>
        <w:t xml:space="preserve"> the </w:t>
      </w:r>
      <w:r w:rsidR="009849F9" w:rsidRPr="00390B8E">
        <w:rPr>
          <w:color w:val="000000" w:themeColor="text1"/>
        </w:rPr>
        <w:t>risks</w:t>
      </w:r>
      <w:r w:rsidRPr="00390B8E">
        <w:rPr>
          <w:color w:val="000000" w:themeColor="text1"/>
        </w:rPr>
        <w:t xml:space="preserve"> of a </w:t>
      </w:r>
      <w:proofErr w:type="gramStart"/>
      <w:r w:rsidRPr="00390B8E">
        <w:rPr>
          <w:color w:val="000000" w:themeColor="text1"/>
        </w:rPr>
        <w:t>continually</w:t>
      </w:r>
      <w:r w:rsidR="009849F9" w:rsidRPr="00390B8E">
        <w:rPr>
          <w:color w:val="000000" w:themeColor="text1"/>
        </w:rPr>
        <w:t>-</w:t>
      </w:r>
      <w:r w:rsidRPr="00390B8E">
        <w:rPr>
          <w:color w:val="000000" w:themeColor="text1"/>
        </w:rPr>
        <w:t>increasing</w:t>
      </w:r>
      <w:proofErr w:type="gramEnd"/>
      <w:r w:rsidR="00772365" w:rsidRPr="00390B8E">
        <w:rPr>
          <w:color w:val="000000" w:themeColor="text1"/>
        </w:rPr>
        <w:t xml:space="preserve"> Regulatory Asset Base</w:t>
      </w:r>
      <w:r w:rsidRPr="00390B8E">
        <w:rPr>
          <w:color w:val="000000" w:themeColor="text1"/>
        </w:rPr>
        <w:t xml:space="preserve"> </w:t>
      </w:r>
      <w:r w:rsidR="00772365" w:rsidRPr="00390B8E">
        <w:rPr>
          <w:color w:val="000000" w:themeColor="text1"/>
        </w:rPr>
        <w:t>(</w:t>
      </w:r>
      <w:r w:rsidRPr="00390B8E">
        <w:rPr>
          <w:color w:val="000000" w:themeColor="text1"/>
        </w:rPr>
        <w:t>RAB</w:t>
      </w:r>
      <w:r w:rsidR="00772365" w:rsidRPr="00390B8E">
        <w:rPr>
          <w:color w:val="000000" w:themeColor="text1"/>
        </w:rPr>
        <w:t>)</w:t>
      </w:r>
      <w:r w:rsidRPr="00390B8E">
        <w:rPr>
          <w:color w:val="000000" w:themeColor="text1"/>
        </w:rPr>
        <w:t>, and has considered this in their assessment of proposed capex.</w:t>
      </w:r>
    </w:p>
    <w:p w14:paraId="28C22456" w14:textId="6A796901" w:rsidR="00F70902" w:rsidRPr="00390B8E" w:rsidRDefault="00F70902" w:rsidP="000F32EE">
      <w:pPr>
        <w:pStyle w:val="BodytextRPCbeforebullets"/>
        <w:numPr>
          <w:ilvl w:val="0"/>
          <w:numId w:val="19"/>
        </w:numPr>
        <w:rPr>
          <w:color w:val="000000" w:themeColor="text1"/>
        </w:rPr>
      </w:pPr>
      <w:r w:rsidRPr="00390B8E">
        <w:rPr>
          <w:color w:val="000000" w:themeColor="text1"/>
        </w:rPr>
        <w:t xml:space="preserve">The AER interrogated the large number of proposed </w:t>
      </w:r>
      <w:r w:rsidR="00772365" w:rsidRPr="00390B8E">
        <w:rPr>
          <w:color w:val="000000" w:themeColor="text1"/>
        </w:rPr>
        <w:t>operational expenditure (</w:t>
      </w:r>
      <w:r w:rsidRPr="00390B8E">
        <w:rPr>
          <w:color w:val="000000" w:themeColor="text1"/>
        </w:rPr>
        <w:t>opex</w:t>
      </w:r>
      <w:r w:rsidR="00772365" w:rsidRPr="00390B8E">
        <w:rPr>
          <w:color w:val="000000" w:themeColor="text1"/>
        </w:rPr>
        <w:t>)</w:t>
      </w:r>
      <w:r w:rsidRPr="00390B8E">
        <w:rPr>
          <w:color w:val="000000" w:themeColor="text1"/>
        </w:rPr>
        <w:t xml:space="preserve"> step changes proposed by distributors, and </w:t>
      </w:r>
      <w:r w:rsidR="009849F9" w:rsidRPr="00390B8E">
        <w:rPr>
          <w:color w:val="000000" w:themeColor="text1"/>
        </w:rPr>
        <w:t>has rejected</w:t>
      </w:r>
      <w:r w:rsidRPr="00390B8E">
        <w:rPr>
          <w:color w:val="000000" w:themeColor="text1"/>
        </w:rPr>
        <w:t xml:space="preserve"> </w:t>
      </w:r>
      <w:r w:rsidR="005A36F4" w:rsidRPr="00390B8E">
        <w:rPr>
          <w:color w:val="000000" w:themeColor="text1"/>
        </w:rPr>
        <w:t>those deemed unqualified</w:t>
      </w:r>
      <w:r w:rsidR="009849F9" w:rsidRPr="00390B8E">
        <w:rPr>
          <w:color w:val="000000" w:themeColor="text1"/>
        </w:rPr>
        <w:t>.</w:t>
      </w:r>
    </w:p>
    <w:p w14:paraId="3AF8B4E9" w14:textId="2C46EEA7" w:rsidR="00F70902" w:rsidRPr="00390B8E" w:rsidRDefault="00F70902" w:rsidP="000F32EE">
      <w:pPr>
        <w:pStyle w:val="BodytextRPCbeforebullets"/>
        <w:numPr>
          <w:ilvl w:val="0"/>
          <w:numId w:val="19"/>
        </w:numPr>
        <w:rPr>
          <w:color w:val="000000" w:themeColor="text1"/>
        </w:rPr>
      </w:pPr>
      <w:r w:rsidRPr="00390B8E">
        <w:rPr>
          <w:color w:val="000000" w:themeColor="text1"/>
        </w:rPr>
        <w:t>The determination questioned the high</w:t>
      </w:r>
      <w:r w:rsidR="009849F9" w:rsidRPr="00390B8E">
        <w:rPr>
          <w:color w:val="000000" w:themeColor="text1"/>
        </w:rPr>
        <w:t xml:space="preserve"> forecasts in some proposals for</w:t>
      </w:r>
      <w:r w:rsidRPr="00390B8E">
        <w:rPr>
          <w:color w:val="000000" w:themeColor="text1"/>
        </w:rPr>
        <w:t xml:space="preserve"> connections </w:t>
      </w:r>
      <w:r w:rsidR="009849F9" w:rsidRPr="00390B8E">
        <w:rPr>
          <w:color w:val="000000" w:themeColor="text1"/>
        </w:rPr>
        <w:t xml:space="preserve">growth </w:t>
      </w:r>
      <w:r w:rsidR="005B065E">
        <w:rPr>
          <w:color w:val="000000" w:themeColor="text1"/>
        </w:rPr>
        <w:t xml:space="preserve">and </w:t>
      </w:r>
      <w:r w:rsidRPr="00390B8E">
        <w:rPr>
          <w:color w:val="000000" w:themeColor="text1"/>
        </w:rPr>
        <w:t>peak demand</w:t>
      </w:r>
      <w:r w:rsidR="009849F9" w:rsidRPr="00390B8E">
        <w:rPr>
          <w:color w:val="000000" w:themeColor="text1"/>
        </w:rPr>
        <w:t>. The AER highlighted that</w:t>
      </w:r>
      <w:r w:rsidRPr="00390B8E">
        <w:rPr>
          <w:color w:val="000000" w:themeColor="text1"/>
        </w:rPr>
        <w:t xml:space="preserve"> </w:t>
      </w:r>
      <w:r w:rsidR="009849F9" w:rsidRPr="00390B8E">
        <w:rPr>
          <w:color w:val="000000" w:themeColor="text1"/>
        </w:rPr>
        <w:t>forecasts</w:t>
      </w:r>
      <w:r w:rsidRPr="00390B8E">
        <w:rPr>
          <w:color w:val="000000" w:themeColor="text1"/>
        </w:rPr>
        <w:t xml:space="preserve"> need to be updated to</w:t>
      </w:r>
      <w:r w:rsidR="009849F9" w:rsidRPr="00390B8E">
        <w:rPr>
          <w:color w:val="000000" w:themeColor="text1"/>
        </w:rPr>
        <w:t xml:space="preserve"> properly</w:t>
      </w:r>
      <w:r w:rsidRPr="00390B8E">
        <w:rPr>
          <w:color w:val="000000" w:themeColor="text1"/>
        </w:rPr>
        <w:t xml:space="preserve"> accommodate the impacts of COVID-19.</w:t>
      </w:r>
    </w:p>
    <w:p w14:paraId="724114ED" w14:textId="77777777" w:rsidR="00F70902" w:rsidRPr="00390B8E" w:rsidRDefault="00F70902" w:rsidP="000F32EE">
      <w:pPr>
        <w:pStyle w:val="BodytextRPCbeforebullets"/>
        <w:numPr>
          <w:ilvl w:val="0"/>
          <w:numId w:val="19"/>
        </w:numPr>
        <w:rPr>
          <w:color w:val="000000" w:themeColor="text1"/>
        </w:rPr>
      </w:pPr>
      <w:r w:rsidRPr="00390B8E">
        <w:rPr>
          <w:color w:val="000000" w:themeColor="text1"/>
        </w:rPr>
        <w:t xml:space="preserve">The AER acknowledged the feedback from many stakeholders that customer engagement should inform rather than determine revenue decisions. </w:t>
      </w:r>
    </w:p>
    <w:p w14:paraId="74FD4825" w14:textId="2A3406D3" w:rsidR="005C2EC8" w:rsidRPr="00390B8E" w:rsidRDefault="004972A6" w:rsidP="004972A6">
      <w:pPr>
        <w:pStyle w:val="BodytextRPCbeforebullets"/>
        <w:numPr>
          <w:ilvl w:val="0"/>
          <w:numId w:val="19"/>
        </w:numPr>
        <w:rPr>
          <w:color w:val="000000" w:themeColor="text1"/>
        </w:rPr>
      </w:pPr>
      <w:r w:rsidRPr="00390B8E">
        <w:rPr>
          <w:noProof/>
          <w:color w:val="000000" w:themeColor="text1"/>
        </w:rPr>
        <mc:AlternateContent>
          <mc:Choice Requires="wps">
            <w:drawing>
              <wp:anchor distT="0" distB="0" distL="114300" distR="114300" simplePos="0" relativeHeight="251668493" behindDoc="0" locked="0" layoutInCell="1" allowOverlap="1" wp14:anchorId="1912730A" wp14:editId="3C50BAE0">
                <wp:simplePos x="0" y="0"/>
                <wp:positionH relativeFrom="column">
                  <wp:posOffset>0</wp:posOffset>
                </wp:positionH>
                <wp:positionV relativeFrom="paragraph">
                  <wp:posOffset>593681</wp:posOffset>
                </wp:positionV>
                <wp:extent cx="4940300" cy="1828800"/>
                <wp:effectExtent l="0" t="0" r="12700" b="12065"/>
                <wp:wrapSquare wrapText="bothSides"/>
                <wp:docPr id="20" name="Text Box 20"/>
                <wp:cNvGraphicFramePr/>
                <a:graphic xmlns:a="http://schemas.openxmlformats.org/drawingml/2006/main">
                  <a:graphicData uri="http://schemas.microsoft.com/office/word/2010/wordprocessingShape">
                    <wps:wsp>
                      <wps:cNvSpPr txBox="1"/>
                      <wps:spPr>
                        <a:xfrm>
                          <a:off x="0" y="0"/>
                          <a:ext cx="4940300" cy="1828800"/>
                        </a:xfrm>
                        <a:prstGeom prst="rect">
                          <a:avLst/>
                        </a:prstGeom>
                        <a:noFill/>
                        <a:ln w="6350">
                          <a:solidFill>
                            <a:prstClr val="black"/>
                          </a:solidFill>
                        </a:ln>
                        <a:effectLst/>
                      </wps:spPr>
                      <wps:txbx>
                        <w:txbxContent>
                          <w:p w14:paraId="5087DA84" w14:textId="77777777" w:rsidR="000655E0" w:rsidRPr="000E2AE6" w:rsidRDefault="000655E0" w:rsidP="009D6832">
                            <w:pPr>
                              <w:pStyle w:val="BodytextRPCbeforebullets"/>
                              <w:shd w:val="clear" w:color="auto" w:fill="000000" w:themeFill="text1"/>
                              <w:rPr>
                                <w:rFonts w:asciiTheme="minorHAnsi" w:hAnsiTheme="minorHAnsi" w:cstheme="minorHAnsi"/>
                              </w:rPr>
                            </w:pPr>
                            <w:r>
                              <w:rPr>
                                <w:rFonts w:asciiTheme="minorHAnsi" w:hAnsiTheme="minorHAnsi" w:cstheme="minorHAnsi"/>
                              </w:rPr>
                              <w:t>Key points:</w:t>
                            </w:r>
                          </w:p>
                          <w:p w14:paraId="7A8DA428" w14:textId="662C635A" w:rsidR="000655E0" w:rsidRPr="005242D9" w:rsidRDefault="000655E0" w:rsidP="000F32EE">
                            <w:pPr>
                              <w:pStyle w:val="BodytextRPCbeforebullets"/>
                              <w:numPr>
                                <w:ilvl w:val="0"/>
                                <w:numId w:val="20"/>
                              </w:numPr>
                              <w:rPr>
                                <w:rFonts w:cstheme="minorHAnsi"/>
                              </w:rPr>
                            </w:pPr>
                            <w:r>
                              <w:t xml:space="preserve">The VCO acknowledge the many aspects of the AER’s determination that reflect stakeholder concerns, and support their inclusion in the final determination.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912730A" id="Text Box 20" o:spid="_x0000_s1027" type="#_x0000_t202" style="position:absolute;left:0;text-align:left;margin-left:0;margin-top:46.75pt;width:389pt;height:2in;z-index:25166849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" filled="f" strokeweight=".5pt">
                <v:textbox style="mso-fit-shape-to-text:t">
                  <w:txbxContent>
                    <w:p w14:paraId="5087DA84" w14:textId="77777777" w:rsidR="000655E0" w:rsidRPr="000E2AE6" w:rsidRDefault="000655E0" w:rsidP="009D6832">
                      <w:pPr>
                        <w:pStyle w:val="BodytextRPCbeforebullets"/>
                        <w:shd w:val="clear" w:color="auto" w:fill="000000" w:themeFill="text1"/>
                        <w:rPr>
                          <w:rFonts w:asciiTheme="minorHAnsi" w:hAnsiTheme="minorHAnsi" w:cstheme="minorHAnsi"/>
                        </w:rPr>
                      </w:pPr>
                      <w:r>
                        <w:rPr>
                          <w:rFonts w:asciiTheme="minorHAnsi" w:hAnsiTheme="minorHAnsi" w:cstheme="minorHAnsi"/>
                        </w:rPr>
                        <w:t>Key points:</w:t>
                      </w:r>
                    </w:p>
                    <w:p w14:paraId="7A8DA428" w14:textId="662C635A" w:rsidR="000655E0" w:rsidRPr="005242D9" w:rsidRDefault="000655E0" w:rsidP="000F32EE">
                      <w:pPr>
                        <w:pStyle w:val="BodytextRPCbeforebullets"/>
                        <w:numPr>
                          <w:ilvl w:val="0"/>
                          <w:numId w:val="20"/>
                        </w:numPr>
                        <w:rPr>
                          <w:rFonts w:cstheme="minorHAnsi"/>
                        </w:rPr>
                      </w:pPr>
                      <w:r>
                        <w:t xml:space="preserve">The VCO acknowledge the many aspects of the AER’s determination that reflect stakeholder concerns, and support their inclusion in the final determination. </w:t>
                      </w:r>
                    </w:p>
                  </w:txbxContent>
                </v:textbox>
                <w10:wrap type="square"/>
              </v:shape>
            </w:pict>
          </mc:Fallback>
        </mc:AlternateContent>
      </w:r>
      <w:r w:rsidR="00F70902" w:rsidRPr="00390B8E">
        <w:rPr>
          <w:color w:val="000000" w:themeColor="text1"/>
        </w:rPr>
        <w:t xml:space="preserve">The AER commissioned a Value of </w:t>
      </w:r>
      <w:r w:rsidR="00772365" w:rsidRPr="00390B8E">
        <w:rPr>
          <w:color w:val="000000" w:themeColor="text1"/>
        </w:rPr>
        <w:t>Distributed Energy Resources (</w:t>
      </w:r>
      <w:r w:rsidR="00F70902" w:rsidRPr="00390B8E">
        <w:rPr>
          <w:color w:val="000000" w:themeColor="text1"/>
        </w:rPr>
        <w:t>DER</w:t>
      </w:r>
      <w:r w:rsidR="00772365" w:rsidRPr="00390B8E">
        <w:rPr>
          <w:color w:val="000000" w:themeColor="text1"/>
        </w:rPr>
        <w:t>)</w:t>
      </w:r>
      <w:r w:rsidR="00F70902" w:rsidRPr="00390B8E">
        <w:rPr>
          <w:color w:val="000000" w:themeColor="text1"/>
        </w:rPr>
        <w:t xml:space="preserve"> report, to establish a standard approach to valuing increased export capacity.   </w:t>
      </w:r>
    </w:p>
    <w:p w14:paraId="110D922F" w14:textId="5FF5D51B" w:rsidR="003010E8" w:rsidRPr="00390B8E" w:rsidRDefault="003010E8" w:rsidP="00815A88">
      <w:pPr>
        <w:pStyle w:val="Heading1"/>
        <w:numPr>
          <w:ilvl w:val="0"/>
          <w:numId w:val="11"/>
        </w:numPr>
      </w:pPr>
      <w:bookmarkStart w:id="10" w:name="_Toc61341265"/>
      <w:r w:rsidRPr="00390B8E">
        <w:lastRenderedPageBreak/>
        <w:t>The EDPR and Victorian consumers</w:t>
      </w:r>
      <w:bookmarkEnd w:id="10"/>
    </w:p>
    <w:p w14:paraId="002F9050" w14:textId="28D91D5E" w:rsidR="007D1105" w:rsidRPr="00390B8E" w:rsidRDefault="00D31B5B" w:rsidP="003010E8">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 xml:space="preserve">Energy affordability remains </w:t>
      </w:r>
      <w:r w:rsidR="007D1105" w:rsidRPr="00390B8E">
        <w:rPr>
          <w:rFonts w:asciiTheme="minorHAnsi" w:hAnsiTheme="minorHAnsi" w:cstheme="minorHAnsi"/>
          <w:color w:val="000000" w:themeColor="text1"/>
        </w:rPr>
        <w:t>crucial</w:t>
      </w:r>
      <w:r w:rsidRPr="00390B8E">
        <w:rPr>
          <w:rFonts w:asciiTheme="minorHAnsi" w:hAnsiTheme="minorHAnsi" w:cstheme="minorHAnsi"/>
          <w:color w:val="000000" w:themeColor="text1"/>
        </w:rPr>
        <w:t xml:space="preserve"> for Victorian households </w:t>
      </w:r>
      <w:r w:rsidR="00E2263F" w:rsidRPr="00390B8E">
        <w:rPr>
          <w:rFonts w:asciiTheme="minorHAnsi" w:hAnsiTheme="minorHAnsi" w:cstheme="minorHAnsi"/>
          <w:color w:val="000000" w:themeColor="text1"/>
        </w:rPr>
        <w:t xml:space="preserve">and </w:t>
      </w:r>
      <w:r w:rsidR="007D1105" w:rsidRPr="00390B8E">
        <w:rPr>
          <w:rFonts w:asciiTheme="minorHAnsi" w:hAnsiTheme="minorHAnsi" w:cstheme="minorHAnsi"/>
          <w:color w:val="000000" w:themeColor="text1"/>
        </w:rPr>
        <w:t>given the potential for the COVID-19 pandemic to increase the number of Victorians facing energy stress, it is important that distributor revenues are no higher th</w:t>
      </w:r>
      <w:r w:rsidR="00772365" w:rsidRPr="00390B8E">
        <w:rPr>
          <w:rFonts w:asciiTheme="minorHAnsi" w:hAnsiTheme="minorHAnsi" w:cstheme="minorHAnsi"/>
          <w:color w:val="000000" w:themeColor="text1"/>
        </w:rPr>
        <w:t>a</w:t>
      </w:r>
      <w:r w:rsidR="007D1105" w:rsidRPr="00390B8E">
        <w:rPr>
          <w:rFonts w:asciiTheme="minorHAnsi" w:hAnsiTheme="minorHAnsi" w:cstheme="minorHAnsi"/>
          <w:color w:val="000000" w:themeColor="text1"/>
        </w:rPr>
        <w:t>n necessary.</w:t>
      </w:r>
    </w:p>
    <w:p w14:paraId="3E3087B9" w14:textId="5B466FD7" w:rsidR="00960872" w:rsidRPr="00390B8E" w:rsidRDefault="00960872" w:rsidP="00960872">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 xml:space="preserve">Energy </w:t>
      </w:r>
      <w:r w:rsidR="003010E8" w:rsidRPr="00390B8E">
        <w:rPr>
          <w:rFonts w:asciiTheme="minorHAnsi" w:hAnsiTheme="minorHAnsi" w:cstheme="minorHAnsi"/>
          <w:color w:val="000000" w:themeColor="text1"/>
        </w:rPr>
        <w:t xml:space="preserve">debts </w:t>
      </w:r>
      <w:r w:rsidRPr="00390B8E">
        <w:rPr>
          <w:rFonts w:asciiTheme="minorHAnsi" w:hAnsiTheme="minorHAnsi" w:cstheme="minorHAnsi"/>
          <w:color w:val="000000" w:themeColor="text1"/>
        </w:rPr>
        <w:t xml:space="preserve">are </w:t>
      </w:r>
      <w:r w:rsidR="003010E8" w:rsidRPr="00390B8E">
        <w:rPr>
          <w:rFonts w:asciiTheme="minorHAnsi" w:hAnsiTheme="minorHAnsi" w:cstheme="minorHAnsi"/>
          <w:color w:val="000000" w:themeColor="text1"/>
        </w:rPr>
        <w:t xml:space="preserve">a strong early indicator of economic hardship </w:t>
      </w:r>
      <w:r w:rsidR="00DE0C3C" w:rsidRPr="00390B8E">
        <w:rPr>
          <w:rFonts w:asciiTheme="minorHAnsi" w:hAnsiTheme="minorHAnsi" w:cstheme="minorHAnsi"/>
          <w:color w:val="000000" w:themeColor="text1"/>
        </w:rPr>
        <w:t>and</w:t>
      </w:r>
      <w:r w:rsidRPr="00390B8E">
        <w:rPr>
          <w:rFonts w:asciiTheme="minorHAnsi" w:hAnsiTheme="minorHAnsi" w:cstheme="minorHAnsi"/>
          <w:color w:val="000000" w:themeColor="text1"/>
        </w:rPr>
        <w:t xml:space="preserve"> </w:t>
      </w:r>
      <w:r w:rsidR="00CC38B1" w:rsidRPr="00390B8E">
        <w:rPr>
          <w:rFonts w:asciiTheme="minorHAnsi" w:hAnsiTheme="minorHAnsi" w:cstheme="minorHAnsi"/>
          <w:color w:val="000000" w:themeColor="text1"/>
        </w:rPr>
        <w:t xml:space="preserve">a driver </w:t>
      </w:r>
      <w:r w:rsidRPr="00390B8E">
        <w:rPr>
          <w:rFonts w:asciiTheme="minorHAnsi" w:hAnsiTheme="minorHAnsi" w:cstheme="minorHAnsi"/>
          <w:color w:val="000000" w:themeColor="text1"/>
        </w:rPr>
        <w:t>for further</w:t>
      </w:r>
      <w:r w:rsidR="003010E8" w:rsidRPr="00390B8E">
        <w:rPr>
          <w:rFonts w:asciiTheme="minorHAnsi" w:hAnsiTheme="minorHAnsi" w:cstheme="minorHAnsi"/>
          <w:color w:val="000000" w:themeColor="text1"/>
        </w:rPr>
        <w:t xml:space="preserve"> household </w:t>
      </w:r>
      <w:r w:rsidRPr="00390B8E">
        <w:rPr>
          <w:rFonts w:asciiTheme="minorHAnsi" w:hAnsiTheme="minorHAnsi" w:cstheme="minorHAnsi"/>
          <w:color w:val="000000" w:themeColor="text1"/>
        </w:rPr>
        <w:t>debt</w:t>
      </w:r>
      <w:r w:rsidR="003010E8" w:rsidRPr="00390B8E">
        <w:rPr>
          <w:rStyle w:val="A2"/>
          <w:rFonts w:asciiTheme="minorHAnsi" w:hAnsiTheme="minorHAnsi" w:cstheme="minorHAnsi"/>
          <w:color w:val="000000" w:themeColor="text1"/>
        </w:rPr>
        <w:t>.</w:t>
      </w:r>
      <w:r w:rsidR="003010E8" w:rsidRPr="00390B8E">
        <w:rPr>
          <w:rStyle w:val="FootnoteReference"/>
          <w:rFonts w:asciiTheme="minorHAnsi" w:hAnsiTheme="minorHAnsi" w:cstheme="minorHAnsi"/>
          <w:color w:val="000000" w:themeColor="text1"/>
        </w:rPr>
        <w:footnoteReference w:id="5"/>
      </w:r>
      <w:r w:rsidR="003010E8" w:rsidRPr="00390B8E">
        <w:rPr>
          <w:rFonts w:asciiTheme="minorHAnsi" w:hAnsiTheme="minorHAnsi" w:cstheme="minorHAnsi"/>
          <w:color w:val="000000" w:themeColor="text1"/>
        </w:rPr>
        <w:t xml:space="preserve"> Energy bills consume a high and growing proportion of the expenditure of low-income households</w:t>
      </w:r>
      <w:r w:rsidR="009849F9" w:rsidRPr="00390B8E">
        <w:rPr>
          <w:rFonts w:asciiTheme="minorHAnsi" w:hAnsiTheme="minorHAnsi" w:cstheme="minorHAnsi"/>
          <w:color w:val="000000" w:themeColor="text1"/>
        </w:rPr>
        <w:t>.</w:t>
      </w:r>
      <w:r w:rsidR="003010E8" w:rsidRPr="00390B8E">
        <w:rPr>
          <w:rStyle w:val="FootnoteReference"/>
          <w:rFonts w:asciiTheme="minorHAnsi" w:hAnsiTheme="minorHAnsi" w:cstheme="minorHAnsi"/>
          <w:color w:val="000000" w:themeColor="text1"/>
        </w:rPr>
        <w:footnoteReference w:id="6"/>
      </w:r>
      <w:r w:rsidR="003010E8" w:rsidRPr="00390B8E">
        <w:rPr>
          <w:rFonts w:asciiTheme="minorHAnsi" w:hAnsiTheme="minorHAnsi" w:cstheme="minorHAnsi"/>
          <w:color w:val="000000" w:themeColor="text1"/>
        </w:rPr>
        <w:t xml:space="preserve"> </w:t>
      </w:r>
      <w:r w:rsidR="009849F9" w:rsidRPr="00390B8E">
        <w:rPr>
          <w:rFonts w:asciiTheme="minorHAnsi" w:hAnsiTheme="minorHAnsi" w:cstheme="minorHAnsi"/>
          <w:color w:val="000000" w:themeColor="text1"/>
        </w:rPr>
        <w:t>F</w:t>
      </w:r>
      <w:r w:rsidRPr="00390B8E">
        <w:rPr>
          <w:rFonts w:asciiTheme="minorHAnsi" w:hAnsiTheme="minorHAnsi" w:cstheme="minorHAnsi"/>
          <w:color w:val="000000" w:themeColor="text1"/>
        </w:rPr>
        <w:t xml:space="preserve">or </w:t>
      </w:r>
      <w:r w:rsidR="003010E8" w:rsidRPr="00390B8E">
        <w:rPr>
          <w:rFonts w:asciiTheme="minorHAnsi" w:hAnsiTheme="minorHAnsi" w:cstheme="minorHAnsi"/>
          <w:color w:val="000000" w:themeColor="text1"/>
        </w:rPr>
        <w:t xml:space="preserve">many households, high energy costs restrict access to </w:t>
      </w:r>
      <w:r w:rsidR="00A43084" w:rsidRPr="00390B8E">
        <w:rPr>
          <w:rFonts w:asciiTheme="minorHAnsi" w:hAnsiTheme="minorHAnsi" w:cstheme="minorHAnsi"/>
          <w:color w:val="000000" w:themeColor="text1"/>
        </w:rPr>
        <w:t>necessities</w:t>
      </w:r>
      <w:r w:rsidR="003010E8" w:rsidRPr="00390B8E">
        <w:rPr>
          <w:rFonts w:asciiTheme="minorHAnsi" w:hAnsiTheme="minorHAnsi" w:cstheme="minorHAnsi"/>
          <w:color w:val="000000" w:themeColor="text1"/>
        </w:rPr>
        <w:t>.</w:t>
      </w:r>
      <w:r w:rsidR="003010E8" w:rsidRPr="00390B8E">
        <w:rPr>
          <w:rStyle w:val="FootnoteReference"/>
          <w:rFonts w:asciiTheme="minorHAnsi" w:hAnsiTheme="minorHAnsi" w:cstheme="minorHAnsi"/>
          <w:color w:val="000000" w:themeColor="text1"/>
        </w:rPr>
        <w:footnoteReference w:id="7"/>
      </w:r>
      <w:r w:rsidR="003010E8" w:rsidRPr="00390B8E">
        <w:rPr>
          <w:rFonts w:asciiTheme="minorHAnsi" w:hAnsiTheme="minorHAnsi" w:cstheme="minorHAnsi"/>
          <w:color w:val="000000" w:themeColor="text1"/>
        </w:rPr>
        <w:t xml:space="preserve"> </w:t>
      </w:r>
    </w:p>
    <w:p w14:paraId="6106B126" w14:textId="4A156ED9" w:rsidR="00960872" w:rsidRPr="00390B8E" w:rsidRDefault="000C29B8" w:rsidP="00960872">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 xml:space="preserve">The pandemic’s implications for the </w:t>
      </w:r>
      <w:r w:rsidR="00EE1081" w:rsidRPr="00390B8E">
        <w:rPr>
          <w:rFonts w:asciiTheme="minorHAnsi" w:hAnsiTheme="minorHAnsi" w:cstheme="minorHAnsi"/>
          <w:color w:val="000000" w:themeColor="text1"/>
        </w:rPr>
        <w:t>circumstances</w:t>
      </w:r>
      <w:r w:rsidRPr="00390B8E">
        <w:rPr>
          <w:rFonts w:asciiTheme="minorHAnsi" w:hAnsiTheme="minorHAnsi" w:cstheme="minorHAnsi"/>
          <w:color w:val="000000" w:themeColor="text1"/>
        </w:rPr>
        <w:t xml:space="preserve"> of </w:t>
      </w:r>
      <w:r w:rsidR="00DE0C3C" w:rsidRPr="00390B8E">
        <w:rPr>
          <w:rFonts w:asciiTheme="minorHAnsi" w:hAnsiTheme="minorHAnsi" w:cstheme="minorHAnsi"/>
          <w:color w:val="000000" w:themeColor="text1"/>
        </w:rPr>
        <w:t xml:space="preserve">existing and </w:t>
      </w:r>
      <w:proofErr w:type="gramStart"/>
      <w:r w:rsidR="00DE0C3C" w:rsidRPr="00390B8E">
        <w:rPr>
          <w:rFonts w:asciiTheme="minorHAnsi" w:hAnsiTheme="minorHAnsi" w:cstheme="minorHAnsi"/>
          <w:color w:val="000000" w:themeColor="text1"/>
        </w:rPr>
        <w:t>newly</w:t>
      </w:r>
      <w:r w:rsidR="00772365" w:rsidRPr="00390B8E">
        <w:rPr>
          <w:rFonts w:asciiTheme="minorHAnsi" w:hAnsiTheme="minorHAnsi" w:cstheme="minorHAnsi"/>
          <w:color w:val="000000" w:themeColor="text1"/>
        </w:rPr>
        <w:t>-</w:t>
      </w:r>
      <w:r w:rsidRPr="00390B8E">
        <w:rPr>
          <w:rFonts w:asciiTheme="minorHAnsi" w:hAnsiTheme="minorHAnsi" w:cstheme="minorHAnsi"/>
          <w:color w:val="000000" w:themeColor="text1"/>
        </w:rPr>
        <w:t>vulnerable</w:t>
      </w:r>
      <w:proofErr w:type="gramEnd"/>
      <w:r w:rsidRPr="00390B8E">
        <w:rPr>
          <w:rFonts w:asciiTheme="minorHAnsi" w:hAnsiTheme="minorHAnsi" w:cstheme="minorHAnsi"/>
          <w:color w:val="000000" w:themeColor="text1"/>
        </w:rPr>
        <w:t xml:space="preserve"> households</w:t>
      </w:r>
      <w:r w:rsidR="00DE0C3C" w:rsidRPr="00390B8E">
        <w:rPr>
          <w:rFonts w:asciiTheme="minorHAnsi" w:hAnsiTheme="minorHAnsi" w:cstheme="minorHAnsi"/>
          <w:color w:val="000000" w:themeColor="text1"/>
        </w:rPr>
        <w:t xml:space="preserve"> </w:t>
      </w:r>
      <w:r w:rsidR="004B14ED" w:rsidRPr="00390B8E">
        <w:rPr>
          <w:rFonts w:asciiTheme="minorHAnsi" w:hAnsiTheme="minorHAnsi" w:cstheme="minorHAnsi"/>
          <w:color w:val="000000" w:themeColor="text1"/>
        </w:rPr>
        <w:t xml:space="preserve">has been masked through 2020 by the effectiveness of government support programs, including </w:t>
      </w:r>
      <w:proofErr w:type="spellStart"/>
      <w:r w:rsidR="004B14ED" w:rsidRPr="00390B8E">
        <w:rPr>
          <w:rFonts w:asciiTheme="minorHAnsi" w:hAnsiTheme="minorHAnsi" w:cstheme="minorHAnsi"/>
          <w:color w:val="000000" w:themeColor="text1"/>
        </w:rPr>
        <w:t>JobKeeper</w:t>
      </w:r>
      <w:proofErr w:type="spellEnd"/>
      <w:r w:rsidR="004B14ED" w:rsidRPr="00390B8E">
        <w:rPr>
          <w:rFonts w:asciiTheme="minorHAnsi" w:hAnsiTheme="minorHAnsi" w:cstheme="minorHAnsi"/>
          <w:color w:val="000000" w:themeColor="text1"/>
        </w:rPr>
        <w:t>.</w:t>
      </w:r>
      <w:r w:rsidR="004E40B6" w:rsidRPr="00390B8E">
        <w:rPr>
          <w:rStyle w:val="FootnoteReference"/>
          <w:rFonts w:cstheme="minorHAnsi"/>
          <w:color w:val="000000" w:themeColor="text1"/>
        </w:rPr>
        <w:footnoteReference w:id="8"/>
      </w:r>
      <w:r w:rsidR="004B14ED" w:rsidRPr="00390B8E">
        <w:rPr>
          <w:rFonts w:asciiTheme="minorHAnsi" w:hAnsiTheme="minorHAnsi" w:cstheme="minorHAnsi"/>
          <w:color w:val="000000" w:themeColor="text1"/>
        </w:rPr>
        <w:t xml:space="preserve"> </w:t>
      </w:r>
      <w:r w:rsidR="007B3CEA" w:rsidRPr="00390B8E">
        <w:rPr>
          <w:rFonts w:asciiTheme="minorHAnsi" w:hAnsiTheme="minorHAnsi" w:cstheme="minorHAnsi"/>
          <w:color w:val="000000" w:themeColor="text1"/>
        </w:rPr>
        <w:t xml:space="preserve">The impact of COVID-19 is uneven and varied, so that some Victorians are facing more significant set-backs than average economic indicators may reflect. BSL’s </w:t>
      </w:r>
      <w:r w:rsidR="004B3477" w:rsidRPr="00390B8E">
        <w:rPr>
          <w:rFonts w:asciiTheme="minorHAnsi" w:hAnsiTheme="minorHAnsi" w:cstheme="minorHAnsi"/>
          <w:color w:val="000000" w:themeColor="text1"/>
        </w:rPr>
        <w:t xml:space="preserve">study of COVID-19’s impact on participants of the longitudinal ‘Life Chances Study’ </w:t>
      </w:r>
      <w:r w:rsidR="000A3BD5" w:rsidRPr="00390B8E">
        <w:rPr>
          <w:rFonts w:asciiTheme="minorHAnsi" w:hAnsiTheme="minorHAnsi" w:cstheme="minorHAnsi"/>
          <w:color w:val="000000" w:themeColor="text1"/>
        </w:rPr>
        <w:t xml:space="preserve">finds that those with insecure work and fewer resources have been disproportionately </w:t>
      </w:r>
      <w:r w:rsidR="00772365" w:rsidRPr="00390B8E">
        <w:rPr>
          <w:rFonts w:asciiTheme="minorHAnsi" w:hAnsiTheme="minorHAnsi" w:cstheme="minorHAnsi"/>
          <w:color w:val="000000" w:themeColor="text1"/>
        </w:rPr>
        <w:t>impacted</w:t>
      </w:r>
      <w:r w:rsidR="000A3BD5" w:rsidRPr="00390B8E">
        <w:rPr>
          <w:rFonts w:asciiTheme="minorHAnsi" w:hAnsiTheme="minorHAnsi" w:cstheme="minorHAnsi"/>
          <w:color w:val="000000" w:themeColor="text1"/>
        </w:rPr>
        <w:t>.</w:t>
      </w:r>
      <w:r w:rsidR="000A3BD5" w:rsidRPr="00390B8E">
        <w:rPr>
          <w:rStyle w:val="FootnoteReference"/>
          <w:rFonts w:cstheme="minorHAnsi"/>
          <w:color w:val="000000" w:themeColor="text1"/>
        </w:rPr>
        <w:footnoteReference w:id="9"/>
      </w:r>
      <w:r w:rsidR="000A3BD5" w:rsidRPr="00390B8E">
        <w:rPr>
          <w:rFonts w:asciiTheme="minorHAnsi" w:hAnsiTheme="minorHAnsi" w:cstheme="minorHAnsi"/>
          <w:color w:val="000000" w:themeColor="text1"/>
        </w:rPr>
        <w:t xml:space="preserve"> </w:t>
      </w:r>
      <w:r w:rsidR="004B3477" w:rsidRPr="00390B8E">
        <w:rPr>
          <w:rFonts w:asciiTheme="minorHAnsi" w:hAnsiTheme="minorHAnsi" w:cstheme="minorHAnsi"/>
          <w:color w:val="000000" w:themeColor="text1"/>
        </w:rPr>
        <w:t xml:space="preserve"> </w:t>
      </w:r>
    </w:p>
    <w:p w14:paraId="32D80FAF" w14:textId="6B809066" w:rsidR="00633A6F" w:rsidRPr="00390B8E" w:rsidRDefault="00633A6F" w:rsidP="00960872">
      <w:pPr>
        <w:pStyle w:val="BodytextRPCbeforebullets"/>
        <w:rPr>
          <w:color w:val="000000" w:themeColor="text1"/>
        </w:rPr>
      </w:pPr>
      <w:r w:rsidRPr="00390B8E">
        <w:rPr>
          <w:noProof/>
          <w:color w:val="000000" w:themeColor="text1"/>
        </w:rPr>
        <mc:AlternateContent>
          <mc:Choice Requires="wps">
            <w:drawing>
              <wp:anchor distT="0" distB="0" distL="114300" distR="114300" simplePos="0" relativeHeight="251658245" behindDoc="0" locked="0" layoutInCell="1" allowOverlap="1" wp14:anchorId="58CBF8D6" wp14:editId="328AE2D3">
                <wp:simplePos x="0" y="0"/>
                <wp:positionH relativeFrom="column">
                  <wp:posOffset>-30480</wp:posOffset>
                </wp:positionH>
                <wp:positionV relativeFrom="paragraph">
                  <wp:posOffset>216535</wp:posOffset>
                </wp:positionV>
                <wp:extent cx="4940300" cy="1828800"/>
                <wp:effectExtent l="0" t="0" r="12700" b="12065"/>
                <wp:wrapSquare wrapText="bothSides"/>
                <wp:docPr id="13" name="Text Box 13"/>
                <wp:cNvGraphicFramePr/>
                <a:graphic xmlns:a="http://schemas.openxmlformats.org/drawingml/2006/main">
                  <a:graphicData uri="http://schemas.microsoft.com/office/word/2010/wordprocessingShape">
                    <wps:wsp>
                      <wps:cNvSpPr txBox="1"/>
                      <wps:spPr>
                        <a:xfrm>
                          <a:off x="0" y="0"/>
                          <a:ext cx="4940300" cy="1828800"/>
                        </a:xfrm>
                        <a:prstGeom prst="rect">
                          <a:avLst/>
                        </a:prstGeom>
                        <a:noFill/>
                        <a:ln w="6350">
                          <a:solidFill>
                            <a:prstClr val="black"/>
                          </a:solidFill>
                        </a:ln>
                        <a:effectLst/>
                      </wps:spPr>
                      <wps:txbx>
                        <w:txbxContent>
                          <w:p w14:paraId="4CF21E25" w14:textId="77777777" w:rsidR="000655E0" w:rsidRPr="000E2AE6" w:rsidRDefault="000655E0" w:rsidP="005156B7">
                            <w:pPr>
                              <w:pStyle w:val="BodytextRPCbeforebullets"/>
                              <w:shd w:val="clear" w:color="auto" w:fill="000000" w:themeFill="text1"/>
                              <w:rPr>
                                <w:rFonts w:asciiTheme="minorHAnsi" w:hAnsiTheme="minorHAnsi" w:cstheme="minorHAnsi"/>
                              </w:rPr>
                            </w:pPr>
                            <w:r>
                              <w:rPr>
                                <w:rFonts w:asciiTheme="minorHAnsi" w:hAnsiTheme="minorHAnsi" w:cstheme="minorHAnsi"/>
                              </w:rPr>
                              <w:t>Key points:</w:t>
                            </w:r>
                          </w:p>
                          <w:p w14:paraId="28091F07" w14:textId="04CC7464" w:rsidR="000655E0" w:rsidRPr="00CC38B1" w:rsidRDefault="000655E0" w:rsidP="004972A6">
                            <w:pPr>
                              <w:pStyle w:val="BodytextRPCbeforebullets"/>
                              <w:numPr>
                                <w:ilvl w:val="0"/>
                                <w:numId w:val="24"/>
                              </w:numPr>
                              <w:rPr>
                                <w:rFonts w:cstheme="minorHAnsi"/>
                              </w:rPr>
                            </w:pPr>
                            <w:r>
                              <w:t xml:space="preserve">Delivering affordable energy will be an important way to support households and businesses particularly impacted by the pandemic, as well as the recovery of the economy at large. </w:t>
                            </w:r>
                          </w:p>
                          <w:p w14:paraId="3682AC29" w14:textId="3AAF0510" w:rsidR="000655E0" w:rsidRPr="005242D9" w:rsidRDefault="000655E0" w:rsidP="004972A6">
                            <w:pPr>
                              <w:pStyle w:val="BodytextRPCbeforebullets"/>
                              <w:numPr>
                                <w:ilvl w:val="0"/>
                                <w:numId w:val="24"/>
                              </w:numPr>
                              <w:rPr>
                                <w:rFonts w:cstheme="minorHAnsi"/>
                              </w:rPr>
                            </w:pPr>
                            <w:r>
                              <w:t xml:space="preserve">Consumer priorities should not be assumed to be unchanged since consultation, especially for non-core services, given the scope of the pandemic’s impact.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8CBF8D6" id="Text Box 13" o:spid="_x0000_s1028" type="#_x0000_t202" style="position:absolute;margin-left:-2.4pt;margin-top:17.05pt;width:389pt;height:2in;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" filled="f" strokeweight=".5pt">
                <v:textbox style="mso-fit-shape-to-text:t">
                  <w:txbxContent>
                    <w:p w14:paraId="4CF21E25" w14:textId="77777777" w:rsidR="000655E0" w:rsidRPr="000E2AE6" w:rsidRDefault="000655E0" w:rsidP="005156B7">
                      <w:pPr>
                        <w:pStyle w:val="BodytextRPCbeforebullets"/>
                        <w:shd w:val="clear" w:color="auto" w:fill="000000" w:themeFill="text1"/>
                        <w:rPr>
                          <w:rFonts w:asciiTheme="minorHAnsi" w:hAnsiTheme="minorHAnsi" w:cstheme="minorHAnsi"/>
                        </w:rPr>
                      </w:pPr>
                      <w:r>
                        <w:rPr>
                          <w:rFonts w:asciiTheme="minorHAnsi" w:hAnsiTheme="minorHAnsi" w:cstheme="minorHAnsi"/>
                        </w:rPr>
                        <w:t>Key points:</w:t>
                      </w:r>
                    </w:p>
                    <w:p w14:paraId="28091F07" w14:textId="04CC7464" w:rsidR="000655E0" w:rsidRPr="00CC38B1" w:rsidRDefault="000655E0" w:rsidP="004972A6">
                      <w:pPr>
                        <w:pStyle w:val="BodytextRPCbeforebullets"/>
                        <w:numPr>
                          <w:ilvl w:val="0"/>
                          <w:numId w:val="24"/>
                        </w:numPr>
                        <w:rPr>
                          <w:rFonts w:cstheme="minorHAnsi"/>
                        </w:rPr>
                      </w:pPr>
                      <w:r>
                        <w:t xml:space="preserve">Delivering affordable energy will be an important way to support households and businesses particularly impacted by the pandemic, as well as the recovery of the economy at large. </w:t>
                      </w:r>
                    </w:p>
                    <w:p w14:paraId="3682AC29" w14:textId="3AAF0510" w:rsidR="000655E0" w:rsidRPr="005242D9" w:rsidRDefault="000655E0" w:rsidP="004972A6">
                      <w:pPr>
                        <w:pStyle w:val="BodytextRPCbeforebullets"/>
                        <w:numPr>
                          <w:ilvl w:val="0"/>
                          <w:numId w:val="24"/>
                        </w:numPr>
                        <w:rPr>
                          <w:rFonts w:cstheme="minorHAnsi"/>
                        </w:rPr>
                      </w:pPr>
                      <w:r>
                        <w:t xml:space="preserve">Consumer priorities should not be assumed to be unchanged since consultation, especially for non-core services, given the scope of the pandemic’s impact.  </w:t>
                      </w:r>
                    </w:p>
                  </w:txbxContent>
                </v:textbox>
                <w10:wrap type="square"/>
              </v:shape>
            </w:pict>
          </mc:Fallback>
        </mc:AlternateContent>
      </w:r>
    </w:p>
    <w:p w14:paraId="1EA08D2A" w14:textId="694924C6" w:rsidR="00633A6F" w:rsidRPr="00390B8E" w:rsidRDefault="00633A6F" w:rsidP="00633A6F">
      <w:pPr>
        <w:pStyle w:val="BodytextRPC"/>
        <w:rPr>
          <w:color w:val="000000" w:themeColor="text1"/>
        </w:rPr>
      </w:pPr>
    </w:p>
    <w:p w14:paraId="0B875107" w14:textId="72D96310" w:rsidR="00DD722D" w:rsidRPr="00390B8E" w:rsidRDefault="008B062C" w:rsidP="00DD722D">
      <w:pPr>
        <w:pStyle w:val="Heading1"/>
        <w:numPr>
          <w:ilvl w:val="0"/>
          <w:numId w:val="11"/>
        </w:numPr>
        <w:tabs>
          <w:tab w:val="left" w:pos="2694"/>
        </w:tabs>
      </w:pPr>
      <w:bookmarkStart w:id="11" w:name="_Toc61341266"/>
      <w:r w:rsidRPr="00390B8E">
        <w:lastRenderedPageBreak/>
        <w:t xml:space="preserve">The </w:t>
      </w:r>
      <w:r w:rsidR="00DD722D" w:rsidRPr="00390B8E">
        <w:t xml:space="preserve">COVID-19 </w:t>
      </w:r>
      <w:r w:rsidRPr="00390B8E">
        <w:t xml:space="preserve">pandemic </w:t>
      </w:r>
      <w:r w:rsidR="00DD722D" w:rsidRPr="00390B8E">
        <w:t>– forecasting and other impacts</w:t>
      </w:r>
      <w:bookmarkEnd w:id="11"/>
    </w:p>
    <w:p w14:paraId="2D961D25" w14:textId="5FF9C517" w:rsidR="00FF0DC3" w:rsidRPr="00390B8E" w:rsidRDefault="00FF0DC3" w:rsidP="00FF0DC3">
      <w:pPr>
        <w:pStyle w:val="Heading2"/>
      </w:pPr>
      <w:bookmarkStart w:id="12" w:name="_Toc61341267"/>
      <w:r w:rsidRPr="00390B8E">
        <w:t>Forecasting connection numbers</w:t>
      </w:r>
      <w:r w:rsidR="005A2792" w:rsidRPr="00390B8E">
        <w:t xml:space="preserve"> and peak demand</w:t>
      </w:r>
      <w:bookmarkEnd w:id="12"/>
    </w:p>
    <w:p w14:paraId="2216DBFE" w14:textId="05EC9BE3" w:rsidR="00CB17BF" w:rsidRPr="00390B8E" w:rsidRDefault="002E6557" w:rsidP="000A3BD5">
      <w:pPr>
        <w:pStyle w:val="BodytextRPC"/>
        <w:rPr>
          <w:color w:val="000000" w:themeColor="text1"/>
        </w:rPr>
      </w:pPr>
      <w:r w:rsidRPr="00390B8E">
        <w:rPr>
          <w:color w:val="000000" w:themeColor="text1"/>
        </w:rPr>
        <w:t>The potential to overestimate</w:t>
      </w:r>
      <w:r w:rsidR="00311029" w:rsidRPr="00390B8E">
        <w:rPr>
          <w:color w:val="000000" w:themeColor="text1"/>
        </w:rPr>
        <w:t xml:space="preserve"> growth</w:t>
      </w:r>
      <w:r w:rsidR="009849F9" w:rsidRPr="00390B8E">
        <w:rPr>
          <w:color w:val="000000" w:themeColor="text1"/>
        </w:rPr>
        <w:t xml:space="preserve"> factors</w:t>
      </w:r>
      <w:r w:rsidR="006717C0" w:rsidRPr="00390B8E">
        <w:rPr>
          <w:color w:val="000000" w:themeColor="text1"/>
        </w:rPr>
        <w:t xml:space="preserve"> </w:t>
      </w:r>
      <w:r w:rsidRPr="00390B8E">
        <w:rPr>
          <w:color w:val="000000" w:themeColor="text1"/>
        </w:rPr>
        <w:t>risks</w:t>
      </w:r>
      <w:r w:rsidR="00311029" w:rsidRPr="00390B8E">
        <w:rPr>
          <w:color w:val="000000" w:themeColor="text1"/>
        </w:rPr>
        <w:t xml:space="preserve"> </w:t>
      </w:r>
      <w:r w:rsidRPr="00390B8E">
        <w:rPr>
          <w:color w:val="000000" w:themeColor="text1"/>
        </w:rPr>
        <w:t>inflated</w:t>
      </w:r>
      <w:r w:rsidR="007B420C" w:rsidRPr="00390B8E">
        <w:rPr>
          <w:color w:val="000000" w:themeColor="text1"/>
        </w:rPr>
        <w:t xml:space="preserve"> </w:t>
      </w:r>
      <w:r w:rsidRPr="00390B8E">
        <w:rPr>
          <w:color w:val="000000" w:themeColor="text1"/>
        </w:rPr>
        <w:t>costs for consumers,</w:t>
      </w:r>
      <w:r w:rsidR="007B420C" w:rsidRPr="00390B8E">
        <w:rPr>
          <w:color w:val="000000" w:themeColor="text1"/>
        </w:rPr>
        <w:t xml:space="preserve"> </w:t>
      </w:r>
      <w:r w:rsidR="008B062C" w:rsidRPr="00390B8E">
        <w:rPr>
          <w:color w:val="000000" w:themeColor="text1"/>
        </w:rPr>
        <w:t>through unnecessary</w:t>
      </w:r>
      <w:r w:rsidR="00311029" w:rsidRPr="00390B8E">
        <w:rPr>
          <w:color w:val="000000" w:themeColor="text1"/>
        </w:rPr>
        <w:t xml:space="preserve"> connection </w:t>
      </w:r>
      <w:r w:rsidRPr="00390B8E">
        <w:rPr>
          <w:color w:val="000000" w:themeColor="text1"/>
        </w:rPr>
        <w:t>allowances</w:t>
      </w:r>
      <w:r w:rsidR="00311029" w:rsidRPr="00390B8E">
        <w:rPr>
          <w:color w:val="000000" w:themeColor="text1"/>
        </w:rPr>
        <w:t xml:space="preserve">, premature </w:t>
      </w:r>
      <w:r w:rsidR="00F30BC8" w:rsidRPr="00390B8E">
        <w:rPr>
          <w:color w:val="000000" w:themeColor="text1"/>
        </w:rPr>
        <w:t xml:space="preserve">proposed </w:t>
      </w:r>
      <w:r w:rsidR="00311029" w:rsidRPr="00390B8E">
        <w:rPr>
          <w:color w:val="000000" w:themeColor="text1"/>
        </w:rPr>
        <w:t xml:space="preserve">augmentation, </w:t>
      </w:r>
      <w:r w:rsidR="00CB17BF" w:rsidRPr="00390B8E">
        <w:rPr>
          <w:color w:val="000000" w:themeColor="text1"/>
        </w:rPr>
        <w:t xml:space="preserve">incentive program </w:t>
      </w:r>
      <w:r w:rsidR="00F30BC8" w:rsidRPr="00390B8E">
        <w:rPr>
          <w:color w:val="000000" w:themeColor="text1"/>
        </w:rPr>
        <w:t>benefits</w:t>
      </w:r>
      <w:r w:rsidR="007B420C" w:rsidRPr="00390B8E">
        <w:rPr>
          <w:color w:val="000000" w:themeColor="text1"/>
        </w:rPr>
        <w:t>,</w:t>
      </w:r>
      <w:r w:rsidR="00CB17BF" w:rsidRPr="00390B8E">
        <w:rPr>
          <w:color w:val="000000" w:themeColor="text1"/>
        </w:rPr>
        <w:t xml:space="preserve"> and </w:t>
      </w:r>
      <w:r w:rsidR="00F30BC8" w:rsidRPr="00390B8E">
        <w:rPr>
          <w:color w:val="000000" w:themeColor="text1"/>
        </w:rPr>
        <w:t>fewer</w:t>
      </w:r>
      <w:r w:rsidR="00CB17BF" w:rsidRPr="00390B8E">
        <w:rPr>
          <w:color w:val="000000" w:themeColor="text1"/>
        </w:rPr>
        <w:t xml:space="preserve"> customers to cover costs. </w:t>
      </w:r>
    </w:p>
    <w:p w14:paraId="01BE9EDE" w14:textId="31392D74" w:rsidR="00847080" w:rsidRPr="00390B8E" w:rsidRDefault="008B062C" w:rsidP="000A3BD5">
      <w:pPr>
        <w:pStyle w:val="BodytextRPC"/>
        <w:rPr>
          <w:color w:val="000000" w:themeColor="text1"/>
        </w:rPr>
      </w:pPr>
      <w:r w:rsidRPr="00390B8E">
        <w:rPr>
          <w:color w:val="000000" w:themeColor="text1"/>
        </w:rPr>
        <w:t xml:space="preserve">The VCO’s submission </w:t>
      </w:r>
      <w:r w:rsidR="005A2792" w:rsidRPr="00390B8E">
        <w:rPr>
          <w:color w:val="000000" w:themeColor="text1"/>
        </w:rPr>
        <w:t xml:space="preserve">to the initial proposals </w:t>
      </w:r>
      <w:r w:rsidRPr="00390B8E">
        <w:rPr>
          <w:color w:val="000000" w:themeColor="text1"/>
        </w:rPr>
        <w:t xml:space="preserve">noted that the connections forecasts </w:t>
      </w:r>
      <w:r w:rsidR="007B420C" w:rsidRPr="00390B8E">
        <w:rPr>
          <w:color w:val="000000" w:themeColor="text1"/>
        </w:rPr>
        <w:t>from</w:t>
      </w:r>
      <w:r w:rsidR="005A2792" w:rsidRPr="00390B8E">
        <w:rPr>
          <w:color w:val="000000" w:themeColor="text1"/>
        </w:rPr>
        <w:t xml:space="preserve"> </w:t>
      </w:r>
      <w:r w:rsidR="00B46557" w:rsidRPr="00390B8E">
        <w:rPr>
          <w:color w:val="000000" w:themeColor="text1"/>
        </w:rPr>
        <w:t>AusNet</w:t>
      </w:r>
      <w:r w:rsidR="005A2792" w:rsidRPr="00390B8E">
        <w:rPr>
          <w:color w:val="000000" w:themeColor="text1"/>
        </w:rPr>
        <w:t xml:space="preserve">, Powercor and United Energy assumed an </w:t>
      </w:r>
      <w:r w:rsidR="002E6557" w:rsidRPr="00390B8E">
        <w:rPr>
          <w:color w:val="000000" w:themeColor="text1"/>
        </w:rPr>
        <w:t>escalation</w:t>
      </w:r>
      <w:r w:rsidR="005A2792" w:rsidRPr="00390B8E">
        <w:rPr>
          <w:color w:val="000000" w:themeColor="text1"/>
        </w:rPr>
        <w:t xml:space="preserve"> in customer growth</w:t>
      </w:r>
      <w:r w:rsidR="002E6557" w:rsidRPr="00390B8E">
        <w:rPr>
          <w:color w:val="000000" w:themeColor="text1"/>
        </w:rPr>
        <w:t>, and an</w:t>
      </w:r>
      <w:r w:rsidR="005A2792" w:rsidRPr="00390B8E">
        <w:rPr>
          <w:color w:val="000000" w:themeColor="text1"/>
        </w:rPr>
        <w:t xml:space="preserve"> </w:t>
      </w:r>
      <w:r w:rsidR="00A25908" w:rsidRPr="00390B8E">
        <w:rPr>
          <w:color w:val="000000" w:themeColor="text1"/>
        </w:rPr>
        <w:t xml:space="preserve">aggregated peak demand forecast </w:t>
      </w:r>
      <w:r w:rsidR="002E6557" w:rsidRPr="00390B8E">
        <w:rPr>
          <w:color w:val="000000" w:themeColor="text1"/>
        </w:rPr>
        <w:t>that was</w:t>
      </w:r>
      <w:r w:rsidR="00A25908" w:rsidRPr="00390B8E">
        <w:rPr>
          <w:color w:val="000000" w:themeColor="text1"/>
        </w:rPr>
        <w:t xml:space="preserve"> significantly higher than </w:t>
      </w:r>
      <w:r w:rsidR="00772365" w:rsidRPr="00390B8E">
        <w:rPr>
          <w:color w:val="000000" w:themeColor="text1"/>
        </w:rPr>
        <w:t>Australian Energy Market Operator’s (</w:t>
      </w:r>
      <w:r w:rsidR="00A25908" w:rsidRPr="00390B8E">
        <w:rPr>
          <w:color w:val="000000" w:themeColor="text1"/>
        </w:rPr>
        <w:t>AEMO</w:t>
      </w:r>
      <w:r w:rsidR="00772365" w:rsidRPr="00390B8E">
        <w:rPr>
          <w:color w:val="000000" w:themeColor="text1"/>
        </w:rPr>
        <w:t>)</w:t>
      </w:r>
      <w:r w:rsidR="00A25908" w:rsidRPr="00390B8E">
        <w:rPr>
          <w:color w:val="000000" w:themeColor="text1"/>
        </w:rPr>
        <w:t xml:space="preserve"> 2019 </w:t>
      </w:r>
      <w:r w:rsidR="00772365" w:rsidRPr="00390B8E">
        <w:rPr>
          <w:color w:val="000000" w:themeColor="text1"/>
        </w:rPr>
        <w:t>Electricity Statement of Opportunities (</w:t>
      </w:r>
      <w:proofErr w:type="spellStart"/>
      <w:r w:rsidR="00A25908" w:rsidRPr="00390B8E">
        <w:rPr>
          <w:color w:val="000000" w:themeColor="text1"/>
        </w:rPr>
        <w:t>ES</w:t>
      </w:r>
      <w:r w:rsidR="00390B8E">
        <w:rPr>
          <w:color w:val="000000" w:themeColor="text1"/>
        </w:rPr>
        <w:t>o</w:t>
      </w:r>
      <w:r w:rsidR="00A25908" w:rsidRPr="00390B8E">
        <w:rPr>
          <w:color w:val="000000" w:themeColor="text1"/>
        </w:rPr>
        <w:t>O</w:t>
      </w:r>
      <w:proofErr w:type="spellEnd"/>
      <w:r w:rsidR="00772365" w:rsidRPr="00390B8E">
        <w:rPr>
          <w:color w:val="000000" w:themeColor="text1"/>
        </w:rPr>
        <w:t>)</w:t>
      </w:r>
      <w:r w:rsidR="002E6557" w:rsidRPr="00390B8E">
        <w:rPr>
          <w:color w:val="000000" w:themeColor="text1"/>
        </w:rPr>
        <w:t>.</w:t>
      </w:r>
      <w:r w:rsidR="00C8448B" w:rsidRPr="00390B8E">
        <w:rPr>
          <w:color w:val="000000" w:themeColor="text1"/>
        </w:rPr>
        <w:t xml:space="preserve"> This increase was applied despite that </w:t>
      </w:r>
      <w:r w:rsidR="00A25908" w:rsidRPr="00390B8E">
        <w:rPr>
          <w:color w:val="000000" w:themeColor="text1"/>
        </w:rPr>
        <w:t xml:space="preserve">AEMO demand growth forecasts </w:t>
      </w:r>
      <w:r w:rsidR="002E6557" w:rsidRPr="00390B8E">
        <w:rPr>
          <w:color w:val="000000" w:themeColor="text1"/>
        </w:rPr>
        <w:t>have</w:t>
      </w:r>
      <w:r w:rsidR="00A25908" w:rsidRPr="00390B8E">
        <w:rPr>
          <w:color w:val="000000" w:themeColor="text1"/>
        </w:rPr>
        <w:t xml:space="preserve"> proven to be conservatively high in the past.</w:t>
      </w:r>
    </w:p>
    <w:p w14:paraId="06E6B642" w14:textId="70D1001C" w:rsidR="0006695A" w:rsidRPr="00390B8E" w:rsidRDefault="002E6557" w:rsidP="000A3BD5">
      <w:pPr>
        <w:pStyle w:val="BodytextRPC"/>
        <w:rPr>
          <w:color w:val="000000" w:themeColor="text1"/>
        </w:rPr>
      </w:pPr>
      <w:r w:rsidRPr="00390B8E">
        <w:rPr>
          <w:color w:val="000000" w:themeColor="text1"/>
        </w:rPr>
        <w:t>The</w:t>
      </w:r>
      <w:r w:rsidR="00A25908" w:rsidRPr="00390B8E">
        <w:rPr>
          <w:color w:val="000000" w:themeColor="text1"/>
        </w:rPr>
        <w:t xml:space="preserve"> AER rejected</w:t>
      </w:r>
      <w:r w:rsidR="00205DC3" w:rsidRPr="00390B8E">
        <w:rPr>
          <w:color w:val="000000" w:themeColor="text1"/>
        </w:rPr>
        <w:t xml:space="preserve"> </w:t>
      </w:r>
      <w:r w:rsidR="00CC38B1" w:rsidRPr="00390B8E">
        <w:rPr>
          <w:color w:val="000000" w:themeColor="text1"/>
        </w:rPr>
        <w:t xml:space="preserve">distributor </w:t>
      </w:r>
      <w:r w:rsidR="00205DC3" w:rsidRPr="00390B8E">
        <w:rPr>
          <w:color w:val="000000" w:themeColor="text1"/>
        </w:rPr>
        <w:t>demand</w:t>
      </w:r>
      <w:r w:rsidR="00A25908" w:rsidRPr="00390B8E">
        <w:rPr>
          <w:color w:val="000000" w:themeColor="text1"/>
        </w:rPr>
        <w:t xml:space="preserve"> forecasts </w:t>
      </w:r>
      <w:r w:rsidRPr="00390B8E">
        <w:rPr>
          <w:color w:val="000000" w:themeColor="text1"/>
        </w:rPr>
        <w:t>exceeding</w:t>
      </w:r>
      <w:r w:rsidR="00A25908" w:rsidRPr="00390B8E">
        <w:rPr>
          <w:color w:val="000000" w:themeColor="text1"/>
        </w:rPr>
        <w:t xml:space="preserve"> </w:t>
      </w:r>
      <w:r w:rsidR="00205DC3" w:rsidRPr="00390B8E">
        <w:rPr>
          <w:color w:val="000000" w:themeColor="text1"/>
        </w:rPr>
        <w:t>AEMO’s Transmission Connection Point</w:t>
      </w:r>
      <w:r w:rsidR="00772365" w:rsidRPr="00390B8E">
        <w:rPr>
          <w:color w:val="000000" w:themeColor="text1"/>
        </w:rPr>
        <w:t xml:space="preserve"> (TCP)</w:t>
      </w:r>
      <w:r w:rsidR="00205DC3" w:rsidRPr="00390B8E">
        <w:rPr>
          <w:color w:val="000000" w:themeColor="text1"/>
        </w:rPr>
        <w:t xml:space="preserve"> </w:t>
      </w:r>
      <w:r w:rsidR="0006695A" w:rsidRPr="00390B8E">
        <w:rPr>
          <w:color w:val="000000" w:themeColor="text1"/>
        </w:rPr>
        <w:t>F</w:t>
      </w:r>
      <w:r w:rsidR="00205DC3" w:rsidRPr="00390B8E">
        <w:rPr>
          <w:color w:val="000000" w:themeColor="text1"/>
        </w:rPr>
        <w:t>orecast</w:t>
      </w:r>
      <w:r w:rsidR="005E22B5" w:rsidRPr="00390B8E">
        <w:rPr>
          <w:color w:val="000000" w:themeColor="text1"/>
        </w:rPr>
        <w:t xml:space="preserve"> </w:t>
      </w:r>
      <w:r w:rsidR="000E48A6" w:rsidRPr="00390B8E">
        <w:rPr>
          <w:color w:val="000000" w:themeColor="text1"/>
        </w:rPr>
        <w:t>(</w:t>
      </w:r>
      <w:r w:rsidR="0006695A" w:rsidRPr="00390B8E">
        <w:rPr>
          <w:color w:val="000000" w:themeColor="text1"/>
        </w:rPr>
        <w:t xml:space="preserve">November 2019, </w:t>
      </w:r>
      <w:r w:rsidR="000E48A6" w:rsidRPr="00390B8E">
        <w:rPr>
          <w:color w:val="000000" w:themeColor="text1"/>
        </w:rPr>
        <w:t>confirmed</w:t>
      </w:r>
      <w:r w:rsidR="005E22B5" w:rsidRPr="00390B8E">
        <w:rPr>
          <w:color w:val="000000" w:themeColor="text1"/>
        </w:rPr>
        <w:t xml:space="preserve"> against AEMO’s August </w:t>
      </w:r>
      <w:r w:rsidR="0006695A" w:rsidRPr="00390B8E">
        <w:rPr>
          <w:color w:val="000000" w:themeColor="text1"/>
        </w:rPr>
        <w:t xml:space="preserve">2020 </w:t>
      </w:r>
      <w:proofErr w:type="spellStart"/>
      <w:r w:rsidR="005A36F4" w:rsidRPr="00390B8E">
        <w:rPr>
          <w:color w:val="000000" w:themeColor="text1"/>
        </w:rPr>
        <w:t>ESoO</w:t>
      </w:r>
      <w:proofErr w:type="spellEnd"/>
      <w:r w:rsidR="005A36F4" w:rsidRPr="00390B8E">
        <w:rPr>
          <w:color w:val="000000" w:themeColor="text1"/>
        </w:rPr>
        <w:t xml:space="preserve"> </w:t>
      </w:r>
      <w:r w:rsidR="00CC38B1" w:rsidRPr="00390B8E">
        <w:rPr>
          <w:color w:val="000000" w:themeColor="text1"/>
        </w:rPr>
        <w:t>to account for</w:t>
      </w:r>
      <w:r w:rsidR="000E48A6" w:rsidRPr="00390B8E">
        <w:rPr>
          <w:color w:val="000000" w:themeColor="text1"/>
        </w:rPr>
        <w:t xml:space="preserve"> </w:t>
      </w:r>
      <w:r w:rsidR="00CC38B1" w:rsidRPr="00390B8E">
        <w:rPr>
          <w:color w:val="000000" w:themeColor="text1"/>
        </w:rPr>
        <w:t>COVID-19 impacts</w:t>
      </w:r>
      <w:r w:rsidR="000E48A6" w:rsidRPr="00390B8E">
        <w:rPr>
          <w:color w:val="000000" w:themeColor="text1"/>
        </w:rPr>
        <w:t>)</w:t>
      </w:r>
      <w:r w:rsidR="005E22B5" w:rsidRPr="00390B8E">
        <w:rPr>
          <w:color w:val="000000" w:themeColor="text1"/>
        </w:rPr>
        <w:t xml:space="preserve">. </w:t>
      </w:r>
      <w:r w:rsidR="005B3EEA" w:rsidRPr="00390B8E">
        <w:rPr>
          <w:color w:val="000000" w:themeColor="text1"/>
        </w:rPr>
        <w:t xml:space="preserve">COVID </w:t>
      </w:r>
      <w:r w:rsidR="002839E8" w:rsidRPr="00390B8E">
        <w:rPr>
          <w:color w:val="000000" w:themeColor="text1"/>
        </w:rPr>
        <w:t>has been generally</w:t>
      </w:r>
      <w:r w:rsidR="005B3EEA" w:rsidRPr="00390B8E">
        <w:rPr>
          <w:color w:val="000000" w:themeColor="text1"/>
        </w:rPr>
        <w:t xml:space="preserve"> assumed to act as a temporary shock</w:t>
      </w:r>
      <w:r w:rsidR="0006695A" w:rsidRPr="00390B8E">
        <w:rPr>
          <w:color w:val="000000" w:themeColor="text1"/>
        </w:rPr>
        <w:t xml:space="preserve"> followed by a recovery rather than </w:t>
      </w:r>
      <w:r w:rsidR="00B225C0" w:rsidRPr="00390B8E">
        <w:rPr>
          <w:color w:val="000000" w:themeColor="text1"/>
        </w:rPr>
        <w:t xml:space="preserve">an </w:t>
      </w:r>
      <w:r w:rsidR="005B3EEA" w:rsidRPr="00390B8E">
        <w:rPr>
          <w:color w:val="000000" w:themeColor="text1"/>
        </w:rPr>
        <w:t xml:space="preserve">enduring </w:t>
      </w:r>
      <w:r w:rsidR="0006695A" w:rsidRPr="00390B8E">
        <w:rPr>
          <w:color w:val="000000" w:themeColor="text1"/>
        </w:rPr>
        <w:t>lag</w:t>
      </w:r>
      <w:r w:rsidR="005B3EEA" w:rsidRPr="00390B8E">
        <w:rPr>
          <w:color w:val="000000" w:themeColor="text1"/>
        </w:rPr>
        <w:t>.</w:t>
      </w:r>
      <w:r w:rsidR="005B3EEA" w:rsidRPr="00390B8E">
        <w:rPr>
          <w:rStyle w:val="FootnoteReference"/>
          <w:color w:val="000000" w:themeColor="text1"/>
        </w:rPr>
        <w:footnoteReference w:id="10"/>
      </w:r>
    </w:p>
    <w:p w14:paraId="0D3111C4" w14:textId="3BE02E4E" w:rsidR="004461BC" w:rsidRPr="00390B8E" w:rsidRDefault="0006695A" w:rsidP="000A3BD5">
      <w:pPr>
        <w:pStyle w:val="BodytextRPC"/>
        <w:rPr>
          <w:color w:val="000000" w:themeColor="text1"/>
        </w:rPr>
      </w:pPr>
      <w:r w:rsidRPr="00390B8E">
        <w:rPr>
          <w:color w:val="000000" w:themeColor="text1"/>
        </w:rPr>
        <w:t xml:space="preserve">Analysis from </w:t>
      </w:r>
      <w:proofErr w:type="spellStart"/>
      <w:r w:rsidRPr="00390B8E">
        <w:rPr>
          <w:color w:val="000000" w:themeColor="text1"/>
        </w:rPr>
        <w:t>Headberry</w:t>
      </w:r>
      <w:proofErr w:type="spellEnd"/>
      <w:r w:rsidRPr="00390B8E">
        <w:rPr>
          <w:color w:val="000000" w:themeColor="text1"/>
        </w:rPr>
        <w:t xml:space="preserve"> Partners</w:t>
      </w:r>
      <w:r w:rsidR="00772365" w:rsidRPr="00390B8E">
        <w:rPr>
          <w:color w:val="000000" w:themeColor="text1"/>
        </w:rPr>
        <w:t xml:space="preserve"> (attached)</w:t>
      </w:r>
      <w:r w:rsidRPr="00390B8E">
        <w:rPr>
          <w:color w:val="000000" w:themeColor="text1"/>
        </w:rPr>
        <w:t xml:space="preserve"> </w:t>
      </w:r>
      <w:r w:rsidR="001B5C33" w:rsidRPr="00390B8E">
        <w:rPr>
          <w:color w:val="000000" w:themeColor="text1"/>
        </w:rPr>
        <w:t xml:space="preserve">shows that </w:t>
      </w:r>
      <w:r w:rsidR="002839E8" w:rsidRPr="00390B8E">
        <w:rPr>
          <w:color w:val="000000" w:themeColor="text1"/>
        </w:rPr>
        <w:t xml:space="preserve">some distributors’ </w:t>
      </w:r>
      <w:r w:rsidR="001B5C33" w:rsidRPr="00390B8E">
        <w:rPr>
          <w:color w:val="000000" w:themeColor="text1"/>
        </w:rPr>
        <w:t xml:space="preserve">customer forecasts are much higher than the </w:t>
      </w:r>
      <w:r w:rsidR="004461BC" w:rsidRPr="00390B8E">
        <w:rPr>
          <w:color w:val="000000" w:themeColor="text1"/>
        </w:rPr>
        <w:t>Victorian budget figures (</w:t>
      </w:r>
      <w:r w:rsidR="002839E8" w:rsidRPr="00390B8E">
        <w:rPr>
          <w:color w:val="000000" w:themeColor="text1"/>
        </w:rPr>
        <w:t>s</w:t>
      </w:r>
      <w:r w:rsidR="004461BC" w:rsidRPr="00390B8E">
        <w:rPr>
          <w:color w:val="000000" w:themeColor="text1"/>
        </w:rPr>
        <w:t>ee Figure 14)</w:t>
      </w:r>
      <w:r w:rsidR="002839E8" w:rsidRPr="00390B8E">
        <w:rPr>
          <w:color w:val="000000" w:themeColor="text1"/>
        </w:rPr>
        <w:t>.</w:t>
      </w:r>
      <w:r w:rsidR="004461BC" w:rsidRPr="00390B8E">
        <w:rPr>
          <w:color w:val="000000" w:themeColor="text1"/>
        </w:rPr>
        <w:t xml:space="preserve"> The aggregate peak demand </w:t>
      </w:r>
      <w:r w:rsidR="002839E8" w:rsidRPr="00390B8E">
        <w:rPr>
          <w:color w:val="000000" w:themeColor="text1"/>
        </w:rPr>
        <w:t>forecast</w:t>
      </w:r>
      <w:r w:rsidR="004461BC" w:rsidRPr="00390B8E">
        <w:rPr>
          <w:color w:val="000000" w:themeColor="text1"/>
        </w:rPr>
        <w:t xml:space="preserve"> by distributors is</w:t>
      </w:r>
      <w:r w:rsidR="002839E8" w:rsidRPr="00390B8E">
        <w:rPr>
          <w:color w:val="000000" w:themeColor="text1"/>
        </w:rPr>
        <w:t xml:space="preserve"> also</w:t>
      </w:r>
      <w:r w:rsidR="004461BC" w:rsidRPr="00390B8E">
        <w:rPr>
          <w:color w:val="000000" w:themeColor="text1"/>
        </w:rPr>
        <w:t xml:space="preserve"> significantly higher than</w:t>
      </w:r>
      <w:r w:rsidR="002839E8" w:rsidRPr="00390B8E">
        <w:rPr>
          <w:color w:val="000000" w:themeColor="text1"/>
        </w:rPr>
        <w:t xml:space="preserve"> that in</w:t>
      </w:r>
      <w:r w:rsidR="004461BC" w:rsidRPr="00390B8E">
        <w:rPr>
          <w:color w:val="000000" w:themeColor="text1"/>
        </w:rPr>
        <w:t xml:space="preserve"> AEMO’s Victorian </w:t>
      </w:r>
      <w:proofErr w:type="spellStart"/>
      <w:r w:rsidR="005A36F4" w:rsidRPr="00390B8E">
        <w:rPr>
          <w:color w:val="000000" w:themeColor="text1"/>
        </w:rPr>
        <w:t>ESoO</w:t>
      </w:r>
      <w:proofErr w:type="spellEnd"/>
      <w:r w:rsidR="005A36F4" w:rsidRPr="00390B8E">
        <w:rPr>
          <w:color w:val="000000" w:themeColor="text1"/>
        </w:rPr>
        <w:t xml:space="preserve"> </w:t>
      </w:r>
      <w:r w:rsidR="004461BC" w:rsidRPr="00390B8E">
        <w:rPr>
          <w:color w:val="000000" w:themeColor="text1"/>
        </w:rPr>
        <w:t xml:space="preserve">– despite the fact that AEMO’s </w:t>
      </w:r>
      <w:r w:rsidR="002839E8" w:rsidRPr="00390B8E">
        <w:rPr>
          <w:color w:val="000000" w:themeColor="text1"/>
        </w:rPr>
        <w:t>forecasts can be shown to be conservative</w:t>
      </w:r>
      <w:r w:rsidR="00215773" w:rsidRPr="00390B8E">
        <w:rPr>
          <w:color w:val="000000" w:themeColor="text1"/>
        </w:rPr>
        <w:t xml:space="preserve">ly high </w:t>
      </w:r>
      <w:r w:rsidR="002839E8" w:rsidRPr="00390B8E">
        <w:rPr>
          <w:color w:val="000000" w:themeColor="text1"/>
        </w:rPr>
        <w:t xml:space="preserve">(see Figure 16). (The analysis points out that AEMO’s </w:t>
      </w:r>
      <w:r w:rsidR="004461BC" w:rsidRPr="00390B8E">
        <w:rPr>
          <w:color w:val="000000" w:themeColor="text1"/>
        </w:rPr>
        <w:t>10% PoE has never eventuated</w:t>
      </w:r>
      <w:r w:rsidR="002839E8" w:rsidRPr="00390B8E">
        <w:rPr>
          <w:color w:val="000000" w:themeColor="text1"/>
        </w:rPr>
        <w:t xml:space="preserve"> in the NEM</w:t>
      </w:r>
      <w:r w:rsidR="004461BC" w:rsidRPr="00390B8E">
        <w:rPr>
          <w:color w:val="000000" w:themeColor="text1"/>
        </w:rPr>
        <w:t xml:space="preserve">, and the 50% PoE </w:t>
      </w:r>
      <w:r w:rsidR="002839E8" w:rsidRPr="00390B8E">
        <w:rPr>
          <w:color w:val="000000" w:themeColor="text1"/>
        </w:rPr>
        <w:t>has rarely been</w:t>
      </w:r>
      <w:r w:rsidR="004461BC" w:rsidRPr="00390B8E">
        <w:rPr>
          <w:color w:val="000000" w:themeColor="text1"/>
        </w:rPr>
        <w:t xml:space="preserve"> exceeded</w:t>
      </w:r>
      <w:r w:rsidR="002839E8" w:rsidRPr="00390B8E">
        <w:rPr>
          <w:color w:val="000000" w:themeColor="text1"/>
        </w:rPr>
        <w:t>.)</w:t>
      </w:r>
    </w:p>
    <w:p w14:paraId="6EC3F910" w14:textId="7022ECE3" w:rsidR="00910150" w:rsidRPr="00390B8E" w:rsidRDefault="008D15BC" w:rsidP="000A3BD5">
      <w:pPr>
        <w:pStyle w:val="BodytextRPC"/>
        <w:rPr>
          <w:color w:val="000000" w:themeColor="text1"/>
        </w:rPr>
      </w:pPr>
      <w:r w:rsidRPr="00390B8E">
        <w:rPr>
          <w:color w:val="000000" w:themeColor="text1"/>
        </w:rPr>
        <w:t xml:space="preserve">The AER </w:t>
      </w:r>
      <w:r w:rsidR="00CC38B1" w:rsidRPr="00390B8E">
        <w:rPr>
          <w:color w:val="000000" w:themeColor="text1"/>
        </w:rPr>
        <w:t>flags</w:t>
      </w:r>
      <w:r w:rsidRPr="00390B8E">
        <w:rPr>
          <w:color w:val="000000" w:themeColor="text1"/>
        </w:rPr>
        <w:t xml:space="preserve"> that it will </w:t>
      </w:r>
      <w:r w:rsidR="00910150" w:rsidRPr="00390B8E">
        <w:rPr>
          <w:color w:val="000000" w:themeColor="text1"/>
        </w:rPr>
        <w:t>update</w:t>
      </w:r>
      <w:r w:rsidRPr="00390B8E">
        <w:rPr>
          <w:color w:val="000000" w:themeColor="text1"/>
        </w:rPr>
        <w:t xml:space="preserve"> </w:t>
      </w:r>
      <w:r w:rsidR="00CC38B1" w:rsidRPr="00390B8E">
        <w:rPr>
          <w:color w:val="000000" w:themeColor="text1"/>
        </w:rPr>
        <w:t>their applied</w:t>
      </w:r>
      <w:r w:rsidR="00910150" w:rsidRPr="00390B8E">
        <w:rPr>
          <w:color w:val="000000" w:themeColor="text1"/>
        </w:rPr>
        <w:t xml:space="preserve"> forecasts if </w:t>
      </w:r>
      <w:r w:rsidR="00CC38B1" w:rsidRPr="00390B8E">
        <w:rPr>
          <w:color w:val="000000" w:themeColor="text1"/>
        </w:rPr>
        <w:t>there are significantly divergent official forecasts released</w:t>
      </w:r>
      <w:r w:rsidR="00910150" w:rsidRPr="00390B8E">
        <w:rPr>
          <w:color w:val="000000" w:themeColor="text1"/>
        </w:rPr>
        <w:t xml:space="preserve"> at the time of the final determination. </w:t>
      </w:r>
    </w:p>
    <w:p w14:paraId="272E5365" w14:textId="029A1114" w:rsidR="00CC38B1" w:rsidRPr="00390B8E" w:rsidRDefault="00516AE8" w:rsidP="000A3BD5">
      <w:pPr>
        <w:pStyle w:val="BodytextRPC"/>
        <w:rPr>
          <w:color w:val="000000" w:themeColor="text1"/>
        </w:rPr>
      </w:pPr>
      <w:r w:rsidRPr="00390B8E">
        <w:rPr>
          <w:color w:val="000000" w:themeColor="text1"/>
        </w:rPr>
        <w:t xml:space="preserve">We support </w:t>
      </w:r>
      <w:r w:rsidR="00CC38B1" w:rsidRPr="00390B8E">
        <w:rPr>
          <w:color w:val="000000" w:themeColor="text1"/>
        </w:rPr>
        <w:t>the AER’s</w:t>
      </w:r>
      <w:r w:rsidRPr="00390B8E">
        <w:rPr>
          <w:color w:val="000000" w:themeColor="text1"/>
        </w:rPr>
        <w:t xml:space="preserve"> approach</w:t>
      </w:r>
      <w:r w:rsidR="00CC38B1" w:rsidRPr="00390B8E">
        <w:rPr>
          <w:color w:val="000000" w:themeColor="text1"/>
        </w:rPr>
        <w:t xml:space="preserve">, especially in rejecting forecasts that exceed </w:t>
      </w:r>
      <w:r w:rsidR="007B420C" w:rsidRPr="00390B8E">
        <w:rPr>
          <w:color w:val="000000" w:themeColor="text1"/>
        </w:rPr>
        <w:t>estimates from</w:t>
      </w:r>
      <w:r w:rsidR="00CC38B1" w:rsidRPr="00390B8E">
        <w:rPr>
          <w:color w:val="000000" w:themeColor="text1"/>
        </w:rPr>
        <w:t xml:space="preserve"> AEMO. We also note the following considerations as relevant to the final forecasts adopted:</w:t>
      </w:r>
    </w:p>
    <w:p w14:paraId="0AFD63E7" w14:textId="77777777" w:rsidR="005A36F4" w:rsidRPr="00390B8E" w:rsidRDefault="004B4865" w:rsidP="00B819A1">
      <w:pPr>
        <w:pStyle w:val="BodytextRPC"/>
        <w:numPr>
          <w:ilvl w:val="0"/>
          <w:numId w:val="19"/>
        </w:numPr>
        <w:ind w:left="993"/>
        <w:rPr>
          <w:color w:val="000000" w:themeColor="text1"/>
        </w:rPr>
      </w:pPr>
      <w:r w:rsidRPr="00390B8E">
        <w:rPr>
          <w:color w:val="000000" w:themeColor="text1"/>
        </w:rPr>
        <w:t xml:space="preserve">Some distributors have argued for a more optimistic revision of forecasts, given </w:t>
      </w:r>
      <w:r w:rsidR="00517005" w:rsidRPr="00390B8E">
        <w:rPr>
          <w:color w:val="000000" w:themeColor="text1"/>
        </w:rPr>
        <w:t>some positivity in</w:t>
      </w:r>
      <w:r w:rsidRPr="00390B8E">
        <w:rPr>
          <w:color w:val="000000" w:themeColor="text1"/>
        </w:rPr>
        <w:t xml:space="preserve"> recent economic figures, and Victoria’s effective control of community transmission of the COVID-19 virus.</w:t>
      </w:r>
      <w:r w:rsidRPr="00390B8E">
        <w:rPr>
          <w:rStyle w:val="FootnoteReference"/>
          <w:color w:val="000000" w:themeColor="text1"/>
        </w:rPr>
        <w:footnoteReference w:id="11"/>
      </w:r>
      <w:r w:rsidRPr="00390B8E">
        <w:rPr>
          <w:color w:val="000000" w:themeColor="text1"/>
        </w:rPr>
        <w:t xml:space="preserve"> </w:t>
      </w:r>
    </w:p>
    <w:p w14:paraId="1F2B663E" w14:textId="225D4A98" w:rsidR="00366C17" w:rsidRPr="00390B8E" w:rsidRDefault="005A36F4" w:rsidP="00C4318B">
      <w:pPr>
        <w:pStyle w:val="BodytextRPC"/>
        <w:ind w:left="993"/>
        <w:rPr>
          <w:color w:val="000000" w:themeColor="text1"/>
        </w:rPr>
      </w:pPr>
      <w:r w:rsidRPr="00390B8E">
        <w:rPr>
          <w:color w:val="000000" w:themeColor="text1"/>
        </w:rPr>
        <w:lastRenderedPageBreak/>
        <w:t>However, t</w:t>
      </w:r>
      <w:r w:rsidR="002161E6" w:rsidRPr="00390B8E">
        <w:rPr>
          <w:color w:val="000000" w:themeColor="text1"/>
        </w:rPr>
        <w:t>he</w:t>
      </w:r>
      <w:r w:rsidR="004B4865" w:rsidRPr="00390B8E">
        <w:rPr>
          <w:color w:val="000000" w:themeColor="text1"/>
        </w:rPr>
        <w:t xml:space="preserve"> uncertainty created by the pandemic is an argument for conservatism</w:t>
      </w:r>
      <w:r w:rsidR="004461BC" w:rsidRPr="00390B8E">
        <w:rPr>
          <w:color w:val="000000" w:themeColor="text1"/>
        </w:rPr>
        <w:t xml:space="preserve">. Where distributors are </w:t>
      </w:r>
      <w:r w:rsidR="002161E6" w:rsidRPr="00390B8E">
        <w:rPr>
          <w:color w:val="000000" w:themeColor="text1"/>
        </w:rPr>
        <w:t xml:space="preserve">able to accommodate possible growth through the deployment of available measures - such as new demand management capabilities supported by the period’s future grid projects – this will support </w:t>
      </w:r>
      <w:r w:rsidR="004461BC" w:rsidRPr="00390B8E">
        <w:rPr>
          <w:color w:val="000000" w:themeColor="text1"/>
        </w:rPr>
        <w:t>the state’s</w:t>
      </w:r>
      <w:r w:rsidR="002161E6" w:rsidRPr="00390B8E">
        <w:rPr>
          <w:color w:val="000000" w:themeColor="text1"/>
        </w:rPr>
        <w:t xml:space="preserve"> recovery</w:t>
      </w:r>
      <w:r w:rsidR="004461BC" w:rsidRPr="00390B8E">
        <w:rPr>
          <w:color w:val="000000" w:themeColor="text1"/>
        </w:rPr>
        <w:t xml:space="preserve"> from the pandemic</w:t>
      </w:r>
      <w:r w:rsidR="002161E6" w:rsidRPr="00390B8E">
        <w:rPr>
          <w:color w:val="000000" w:themeColor="text1"/>
        </w:rPr>
        <w:t>.</w:t>
      </w:r>
    </w:p>
    <w:p w14:paraId="24EEB3CA" w14:textId="6740D188" w:rsidR="00CC5C73" w:rsidRPr="00390B8E" w:rsidRDefault="00CF36F7" w:rsidP="00B819A1">
      <w:pPr>
        <w:pStyle w:val="BodytextRPC"/>
        <w:numPr>
          <w:ilvl w:val="0"/>
          <w:numId w:val="19"/>
        </w:numPr>
        <w:ind w:left="993"/>
        <w:rPr>
          <w:color w:val="000000" w:themeColor="text1"/>
        </w:rPr>
      </w:pPr>
      <w:r w:rsidRPr="00390B8E">
        <w:rPr>
          <w:color w:val="000000" w:themeColor="text1"/>
        </w:rPr>
        <w:t>Long term post-COVID trends are not yet clear</w:t>
      </w:r>
      <w:r w:rsidR="002C593C" w:rsidRPr="00390B8E">
        <w:rPr>
          <w:color w:val="000000" w:themeColor="text1"/>
        </w:rPr>
        <w:t>. O</w:t>
      </w:r>
      <w:r w:rsidRPr="00390B8E">
        <w:rPr>
          <w:color w:val="000000" w:themeColor="text1"/>
        </w:rPr>
        <w:t>bserved patterns, such as urban to rural migration may shift growth on the network.</w:t>
      </w:r>
      <w:r w:rsidR="003B4481" w:rsidRPr="00390B8E">
        <w:rPr>
          <w:rStyle w:val="FootnoteReference"/>
          <w:color w:val="000000" w:themeColor="text1"/>
        </w:rPr>
        <w:footnoteReference w:id="12"/>
      </w:r>
      <w:r w:rsidR="003B4481" w:rsidRPr="00390B8E">
        <w:rPr>
          <w:color w:val="000000" w:themeColor="text1"/>
        </w:rPr>
        <w:t xml:space="preserve"> </w:t>
      </w:r>
      <w:r w:rsidRPr="00390B8E">
        <w:rPr>
          <w:color w:val="000000" w:themeColor="text1"/>
        </w:rPr>
        <w:t>Conservative estimates will help accommodate change</w:t>
      </w:r>
      <w:r w:rsidR="00E056BC" w:rsidRPr="00390B8E">
        <w:rPr>
          <w:color w:val="000000" w:themeColor="text1"/>
        </w:rPr>
        <w:t>d trajectories</w:t>
      </w:r>
      <w:r w:rsidR="002C593C" w:rsidRPr="00390B8E">
        <w:rPr>
          <w:color w:val="000000" w:themeColor="text1"/>
        </w:rPr>
        <w:t xml:space="preserve"> that endure post the pandemic</w:t>
      </w:r>
      <w:r w:rsidRPr="00390B8E">
        <w:rPr>
          <w:color w:val="000000" w:themeColor="text1"/>
        </w:rPr>
        <w:t>.</w:t>
      </w:r>
    </w:p>
    <w:p w14:paraId="1D03C5F7" w14:textId="67EDA00A" w:rsidR="00366C17" w:rsidRPr="00390B8E" w:rsidRDefault="00CF36F7" w:rsidP="00B819A1">
      <w:pPr>
        <w:pStyle w:val="BodytextRPC"/>
        <w:numPr>
          <w:ilvl w:val="0"/>
          <w:numId w:val="19"/>
        </w:numPr>
        <w:ind w:left="993"/>
        <w:rPr>
          <w:color w:val="000000" w:themeColor="text1"/>
        </w:rPr>
      </w:pPr>
      <w:r w:rsidRPr="00390B8E">
        <w:rPr>
          <w:color w:val="000000" w:themeColor="text1"/>
        </w:rPr>
        <w:t xml:space="preserve">Lower </w:t>
      </w:r>
      <w:r w:rsidR="002C593C" w:rsidRPr="00390B8E">
        <w:rPr>
          <w:color w:val="000000" w:themeColor="text1"/>
        </w:rPr>
        <w:t>birth-rates</w:t>
      </w:r>
      <w:r w:rsidRPr="00390B8E">
        <w:rPr>
          <w:color w:val="000000" w:themeColor="text1"/>
        </w:rPr>
        <w:t xml:space="preserve">, and lower overseas migration will both impact Victoria’s growth in connection numbers. </w:t>
      </w:r>
    </w:p>
    <w:p w14:paraId="76107462" w14:textId="38D74D6D" w:rsidR="00CF36F7" w:rsidRPr="00390B8E" w:rsidRDefault="00CF36F7" w:rsidP="00B819A1">
      <w:pPr>
        <w:pStyle w:val="BodytextRPC"/>
        <w:ind w:left="993"/>
        <w:rPr>
          <w:color w:val="000000" w:themeColor="text1"/>
        </w:rPr>
      </w:pPr>
      <w:r w:rsidRPr="00390B8E">
        <w:rPr>
          <w:color w:val="000000" w:themeColor="text1"/>
        </w:rPr>
        <w:t xml:space="preserve">Births contribute to households upsizing and new construction in the suburbs. COVID-19 </w:t>
      </w:r>
      <w:r w:rsidR="002C593C" w:rsidRPr="00390B8E">
        <w:rPr>
          <w:color w:val="000000" w:themeColor="text1"/>
        </w:rPr>
        <w:t>accelerated</w:t>
      </w:r>
      <w:r w:rsidRPr="00390B8E">
        <w:rPr>
          <w:color w:val="000000" w:themeColor="text1"/>
        </w:rPr>
        <w:t xml:space="preserve"> a declining trend for </w:t>
      </w:r>
      <w:r w:rsidR="002C593C" w:rsidRPr="00390B8E">
        <w:rPr>
          <w:color w:val="000000" w:themeColor="text1"/>
        </w:rPr>
        <w:t>birth-rates</w:t>
      </w:r>
      <w:r w:rsidRPr="00390B8E">
        <w:rPr>
          <w:color w:val="000000" w:themeColor="text1"/>
        </w:rPr>
        <w:t xml:space="preserve"> in Victoria.</w:t>
      </w:r>
      <w:r w:rsidRPr="00390B8E">
        <w:rPr>
          <w:rStyle w:val="FootnoteReference"/>
          <w:color w:val="000000" w:themeColor="text1"/>
        </w:rPr>
        <w:footnoteReference w:id="13"/>
      </w:r>
    </w:p>
    <w:p w14:paraId="704DD05B" w14:textId="08491CD1" w:rsidR="00CF36F7" w:rsidRPr="00390B8E" w:rsidRDefault="00CF36F7" w:rsidP="00B819A1">
      <w:pPr>
        <w:pStyle w:val="BodytextRPC"/>
        <w:ind w:left="993"/>
        <w:rPr>
          <w:color w:val="000000" w:themeColor="text1"/>
        </w:rPr>
      </w:pPr>
      <w:r w:rsidRPr="00390B8E">
        <w:rPr>
          <w:color w:val="000000" w:themeColor="text1"/>
        </w:rPr>
        <w:t xml:space="preserve">Overseas migration, especially student migration, was the key driver for growth in Victoria before the pandemic. Its recovery will depend on global economic conditions as well as local management of COVID-19 and our economy. </w:t>
      </w:r>
    </w:p>
    <w:p w14:paraId="0F5C9CC5" w14:textId="6907402B" w:rsidR="004B4865" w:rsidRPr="00390B8E" w:rsidRDefault="002C593C" w:rsidP="00B819A1">
      <w:pPr>
        <w:pStyle w:val="BodytextRPC"/>
        <w:ind w:left="993"/>
        <w:rPr>
          <w:color w:val="000000" w:themeColor="text1"/>
        </w:rPr>
      </w:pPr>
      <w:r w:rsidRPr="00390B8E">
        <w:rPr>
          <w:color w:val="000000" w:themeColor="text1"/>
        </w:rPr>
        <w:t>The university</w:t>
      </w:r>
      <w:r w:rsidR="00CF36F7" w:rsidRPr="00390B8E">
        <w:rPr>
          <w:color w:val="000000" w:themeColor="text1"/>
        </w:rPr>
        <w:t xml:space="preserve"> sector’s recovery is expected to take years. A recent estimate</w:t>
      </w:r>
      <w:r w:rsidR="00E056BC" w:rsidRPr="00390B8E">
        <w:rPr>
          <w:color w:val="000000" w:themeColor="text1"/>
        </w:rPr>
        <w:t xml:space="preserve"> </w:t>
      </w:r>
      <w:r w:rsidR="006513E7" w:rsidRPr="00390B8E">
        <w:rPr>
          <w:color w:val="000000" w:themeColor="text1"/>
        </w:rPr>
        <w:t>considered ‘optimistic’</w:t>
      </w:r>
      <w:r w:rsidR="00CF36F7" w:rsidRPr="00390B8E">
        <w:rPr>
          <w:color w:val="000000" w:themeColor="text1"/>
        </w:rPr>
        <w:t xml:space="preserve"> in a Melbourne University study </w:t>
      </w:r>
      <w:r w:rsidR="006513E7" w:rsidRPr="00390B8E">
        <w:rPr>
          <w:color w:val="000000" w:themeColor="text1"/>
        </w:rPr>
        <w:t>anticipated recovered rates by</w:t>
      </w:r>
      <w:r w:rsidR="00CF36F7" w:rsidRPr="00390B8E">
        <w:rPr>
          <w:color w:val="000000" w:themeColor="text1"/>
        </w:rPr>
        <w:t xml:space="preserve"> the </w:t>
      </w:r>
      <w:r w:rsidR="006513E7" w:rsidRPr="00390B8E">
        <w:rPr>
          <w:color w:val="000000" w:themeColor="text1"/>
        </w:rPr>
        <w:t xml:space="preserve">end of the </w:t>
      </w:r>
      <w:r w:rsidR="00CF36F7" w:rsidRPr="00390B8E">
        <w:rPr>
          <w:color w:val="000000" w:themeColor="text1"/>
        </w:rPr>
        <w:t xml:space="preserve">upcoming period. </w:t>
      </w:r>
      <w:r w:rsidR="00CF36F7" w:rsidRPr="00390B8E">
        <w:rPr>
          <w:rStyle w:val="FootnoteReference"/>
          <w:color w:val="000000" w:themeColor="text1"/>
        </w:rPr>
        <w:footnoteReference w:id="14"/>
      </w:r>
    </w:p>
    <w:p w14:paraId="0EE4528F" w14:textId="56359054" w:rsidR="00CC38B1" w:rsidRPr="00390B8E" w:rsidRDefault="00CF36F7" w:rsidP="00B819A1">
      <w:pPr>
        <w:pStyle w:val="BodytextRPC"/>
        <w:numPr>
          <w:ilvl w:val="0"/>
          <w:numId w:val="19"/>
        </w:numPr>
        <w:ind w:left="993"/>
        <w:rPr>
          <w:color w:val="000000" w:themeColor="text1"/>
        </w:rPr>
      </w:pPr>
      <w:r w:rsidRPr="00390B8E">
        <w:rPr>
          <w:color w:val="000000" w:themeColor="text1"/>
        </w:rPr>
        <w:t xml:space="preserve">Forecasts </w:t>
      </w:r>
      <w:r w:rsidR="006513E7" w:rsidRPr="00390B8E">
        <w:rPr>
          <w:color w:val="000000" w:themeColor="text1"/>
        </w:rPr>
        <w:t>with</w:t>
      </w:r>
      <w:r w:rsidRPr="00390B8E">
        <w:rPr>
          <w:color w:val="000000" w:themeColor="text1"/>
        </w:rPr>
        <w:t xml:space="preserve"> a long</w:t>
      </w:r>
      <w:r w:rsidR="002C593C" w:rsidRPr="00390B8E">
        <w:rPr>
          <w:color w:val="000000" w:themeColor="text1"/>
        </w:rPr>
        <w:t>-</w:t>
      </w:r>
      <w:r w:rsidRPr="00390B8E">
        <w:rPr>
          <w:color w:val="000000" w:themeColor="text1"/>
        </w:rPr>
        <w:t xml:space="preserve">term outlook </w:t>
      </w:r>
      <w:r w:rsidR="006513E7" w:rsidRPr="00390B8E">
        <w:rPr>
          <w:color w:val="000000" w:themeColor="text1"/>
        </w:rPr>
        <w:t>anticipate</w:t>
      </w:r>
      <w:r w:rsidRPr="00390B8E">
        <w:rPr>
          <w:color w:val="000000" w:themeColor="text1"/>
        </w:rPr>
        <w:t xml:space="preserve"> an enduring lag</w:t>
      </w:r>
      <w:r w:rsidR="006513E7" w:rsidRPr="00390B8E">
        <w:rPr>
          <w:color w:val="000000" w:themeColor="text1"/>
        </w:rPr>
        <w:t xml:space="preserve"> after the rate of growth recovers</w:t>
      </w:r>
      <w:r w:rsidRPr="00390B8E">
        <w:rPr>
          <w:color w:val="000000" w:themeColor="text1"/>
        </w:rPr>
        <w:t xml:space="preserve">. </w:t>
      </w:r>
      <w:r w:rsidR="006513E7" w:rsidRPr="00390B8E">
        <w:rPr>
          <w:color w:val="000000" w:themeColor="text1"/>
        </w:rPr>
        <w:t>This is seen in the</w:t>
      </w:r>
      <w:r w:rsidRPr="00390B8E">
        <w:rPr>
          <w:color w:val="000000" w:themeColor="text1"/>
        </w:rPr>
        <w:t xml:space="preserve"> federal Centre for Population’s recent Annual Population Statement</w:t>
      </w:r>
      <w:r w:rsidR="006513E7" w:rsidRPr="00390B8E">
        <w:rPr>
          <w:color w:val="000000" w:themeColor="text1"/>
        </w:rPr>
        <w:t>, as well as their federal and state forecasts</w:t>
      </w:r>
      <w:r w:rsidR="00CC38B1" w:rsidRPr="00390B8E">
        <w:rPr>
          <w:color w:val="000000" w:themeColor="text1"/>
        </w:rPr>
        <w:t>.</w:t>
      </w:r>
      <w:r w:rsidR="00387312" w:rsidRPr="00390B8E">
        <w:rPr>
          <w:rStyle w:val="FootnoteReference"/>
          <w:color w:val="000000" w:themeColor="text1"/>
        </w:rPr>
        <w:footnoteReference w:id="15"/>
      </w:r>
      <w:r w:rsidR="00CC38B1" w:rsidRPr="00390B8E">
        <w:rPr>
          <w:color w:val="000000" w:themeColor="text1"/>
        </w:rPr>
        <w:t xml:space="preserve"> </w:t>
      </w:r>
    </w:p>
    <w:p w14:paraId="14F34A92" w14:textId="74809D27" w:rsidR="00452198" w:rsidRPr="00390B8E" w:rsidRDefault="000E4254" w:rsidP="00B819A1">
      <w:pPr>
        <w:pStyle w:val="BodytextRPC"/>
        <w:numPr>
          <w:ilvl w:val="0"/>
          <w:numId w:val="19"/>
        </w:numPr>
        <w:ind w:left="993"/>
        <w:rPr>
          <w:color w:val="000000" w:themeColor="text1"/>
        </w:rPr>
      </w:pPr>
      <w:r w:rsidRPr="00390B8E">
        <w:rPr>
          <w:color w:val="000000" w:themeColor="text1"/>
        </w:rPr>
        <w:t xml:space="preserve">Population growth has been steadily falling in Melbourne’s growth corridors for a number of years, </w:t>
      </w:r>
      <w:r w:rsidR="000058A6" w:rsidRPr="00390B8E">
        <w:rPr>
          <w:color w:val="000000" w:themeColor="text1"/>
        </w:rPr>
        <w:t xml:space="preserve">including areas of planned </w:t>
      </w:r>
      <w:proofErr w:type="spellStart"/>
      <w:r w:rsidR="000058A6" w:rsidRPr="00390B8E">
        <w:rPr>
          <w:color w:val="000000" w:themeColor="text1"/>
        </w:rPr>
        <w:t>augex</w:t>
      </w:r>
      <w:proofErr w:type="spellEnd"/>
      <w:r w:rsidR="000058A6" w:rsidRPr="00390B8E">
        <w:rPr>
          <w:color w:val="000000" w:themeColor="text1"/>
        </w:rPr>
        <w:t xml:space="preserve">, such as </w:t>
      </w:r>
      <w:r w:rsidRPr="00390B8E">
        <w:rPr>
          <w:color w:val="000000" w:themeColor="text1"/>
        </w:rPr>
        <w:t xml:space="preserve">Whittlesea </w:t>
      </w:r>
      <w:r w:rsidR="002C593C" w:rsidRPr="00390B8E">
        <w:rPr>
          <w:color w:val="000000" w:themeColor="text1"/>
        </w:rPr>
        <w:lastRenderedPageBreak/>
        <w:t xml:space="preserve">Shire, </w:t>
      </w:r>
      <w:r w:rsidRPr="00390B8E">
        <w:rPr>
          <w:color w:val="000000" w:themeColor="text1"/>
        </w:rPr>
        <w:t>which includes Doreen</w:t>
      </w:r>
      <w:r w:rsidR="000058A6" w:rsidRPr="00390B8E">
        <w:rPr>
          <w:color w:val="000000" w:themeColor="text1"/>
        </w:rPr>
        <w:t>.</w:t>
      </w:r>
      <w:r w:rsidR="000058A6" w:rsidRPr="00390B8E">
        <w:rPr>
          <w:rStyle w:val="FootnoteReference"/>
          <w:color w:val="000000" w:themeColor="text1"/>
        </w:rPr>
        <w:footnoteReference w:id="16"/>
      </w:r>
      <w:r w:rsidR="000058A6" w:rsidRPr="00390B8E">
        <w:rPr>
          <w:color w:val="000000" w:themeColor="text1"/>
        </w:rPr>
        <w:t xml:space="preserve"> The context of declining growth pre-pandemic i</w:t>
      </w:r>
      <w:r w:rsidR="002C593C" w:rsidRPr="00390B8E">
        <w:rPr>
          <w:color w:val="000000" w:themeColor="text1"/>
        </w:rPr>
        <w:t xml:space="preserve">ncreases the possibility of a shock from COVID-19 to endure. </w:t>
      </w:r>
    </w:p>
    <w:p w14:paraId="408C8E4D" w14:textId="61FA2E4E" w:rsidR="00CF36F7" w:rsidRPr="00390B8E" w:rsidRDefault="00CC38B1" w:rsidP="00B819A1">
      <w:pPr>
        <w:pStyle w:val="BodytextRPC"/>
        <w:numPr>
          <w:ilvl w:val="0"/>
          <w:numId w:val="19"/>
        </w:numPr>
        <w:ind w:left="993"/>
        <w:rPr>
          <w:color w:val="000000" w:themeColor="text1"/>
        </w:rPr>
      </w:pPr>
      <w:r w:rsidRPr="00390B8E">
        <w:rPr>
          <w:color w:val="000000" w:themeColor="text1"/>
        </w:rPr>
        <w:t xml:space="preserve">The Victorian Government’s Big Housing Build program </w:t>
      </w:r>
      <w:r w:rsidR="00BA043A" w:rsidRPr="00390B8E">
        <w:rPr>
          <w:color w:val="000000" w:themeColor="text1"/>
        </w:rPr>
        <w:t>has</w:t>
      </w:r>
      <w:r w:rsidR="00CF36F7" w:rsidRPr="00390B8E">
        <w:rPr>
          <w:color w:val="000000" w:themeColor="text1"/>
        </w:rPr>
        <w:t xml:space="preserve"> the potential to</w:t>
      </w:r>
      <w:r w:rsidR="00B175F8" w:rsidRPr="00390B8E">
        <w:rPr>
          <w:color w:val="000000" w:themeColor="text1"/>
        </w:rPr>
        <w:t xml:space="preserve"> </w:t>
      </w:r>
      <w:r w:rsidR="00CF36F7" w:rsidRPr="00390B8E">
        <w:rPr>
          <w:color w:val="000000" w:themeColor="text1"/>
        </w:rPr>
        <w:t>increase connections</w:t>
      </w:r>
      <w:r w:rsidR="00BA043A" w:rsidRPr="00390B8E">
        <w:rPr>
          <w:color w:val="000000" w:themeColor="text1"/>
        </w:rPr>
        <w:t xml:space="preserve"> by a known quantity</w:t>
      </w:r>
      <w:r w:rsidR="00AF1AEB" w:rsidRPr="00390B8E">
        <w:rPr>
          <w:color w:val="000000" w:themeColor="text1"/>
        </w:rPr>
        <w:t xml:space="preserve">. </w:t>
      </w:r>
      <w:r w:rsidR="00CF36F7" w:rsidRPr="00390B8E">
        <w:rPr>
          <w:color w:val="000000" w:themeColor="text1"/>
        </w:rPr>
        <w:t xml:space="preserve">It’s important that the additional 12,000 dwellings are not accounted for more than once, between the distributors. </w:t>
      </w:r>
    </w:p>
    <w:p w14:paraId="37CC597A" w14:textId="2A87542A" w:rsidR="005D62B5" w:rsidRPr="00390B8E" w:rsidRDefault="007A24D6" w:rsidP="005D62B5">
      <w:pPr>
        <w:pStyle w:val="BodytextRPC"/>
        <w:ind w:left="993"/>
        <w:rPr>
          <w:color w:val="000000" w:themeColor="text1"/>
        </w:rPr>
      </w:pPr>
      <w:r w:rsidRPr="00390B8E">
        <w:rPr>
          <w:noProof/>
          <w:color w:val="000000" w:themeColor="text1"/>
        </w:rPr>
        <mc:AlternateContent>
          <mc:Choice Requires="wps">
            <w:drawing>
              <wp:anchor distT="0" distB="0" distL="114300" distR="114300" simplePos="0" relativeHeight="251672589" behindDoc="0" locked="0" layoutInCell="1" allowOverlap="1" wp14:anchorId="1572DC36" wp14:editId="45F27418">
                <wp:simplePos x="0" y="0"/>
                <wp:positionH relativeFrom="column">
                  <wp:posOffset>80010</wp:posOffset>
                </wp:positionH>
                <wp:positionV relativeFrom="paragraph">
                  <wp:posOffset>903549</wp:posOffset>
                </wp:positionV>
                <wp:extent cx="5185410" cy="1828800"/>
                <wp:effectExtent l="0" t="0" r="8890" b="11430"/>
                <wp:wrapSquare wrapText="bothSides"/>
                <wp:docPr id="14" name="Text Box 14"/>
                <wp:cNvGraphicFramePr/>
                <a:graphic xmlns:a="http://schemas.openxmlformats.org/drawingml/2006/main">
                  <a:graphicData uri="http://schemas.microsoft.com/office/word/2010/wordprocessingShape">
                    <wps:wsp>
                      <wps:cNvSpPr txBox="1"/>
                      <wps:spPr>
                        <a:xfrm>
                          <a:off x="0" y="0"/>
                          <a:ext cx="5185410" cy="1828800"/>
                        </a:xfrm>
                        <a:prstGeom prst="rect">
                          <a:avLst/>
                        </a:prstGeom>
                        <a:noFill/>
                        <a:ln w="6350">
                          <a:solidFill>
                            <a:prstClr val="black"/>
                          </a:solidFill>
                        </a:ln>
                        <a:effectLst/>
                      </wps:spPr>
                      <wps:txbx>
                        <w:txbxContent>
                          <w:p w14:paraId="389A4FC1" w14:textId="77777777" w:rsidR="000655E0" w:rsidRPr="000E2AE6" w:rsidRDefault="000655E0" w:rsidP="00CD06B9">
                            <w:pPr>
                              <w:pStyle w:val="BodytextRPCbeforebullets"/>
                              <w:shd w:val="clear" w:color="auto" w:fill="000000" w:themeFill="text1"/>
                              <w:rPr>
                                <w:rFonts w:asciiTheme="minorHAnsi" w:hAnsiTheme="minorHAnsi" w:cstheme="minorHAnsi"/>
                              </w:rPr>
                            </w:pPr>
                            <w:r>
                              <w:rPr>
                                <w:rFonts w:asciiTheme="minorHAnsi" w:hAnsiTheme="minorHAnsi" w:cstheme="minorHAnsi"/>
                              </w:rPr>
                              <w:t>Key points:</w:t>
                            </w:r>
                          </w:p>
                          <w:p w14:paraId="79568E7C" w14:textId="090E77AC" w:rsidR="000655E0" w:rsidRPr="00C702BF" w:rsidRDefault="000655E0" w:rsidP="00C702BF">
                            <w:pPr>
                              <w:pStyle w:val="BodytextRPCbeforebullets"/>
                              <w:numPr>
                                <w:ilvl w:val="0"/>
                                <w:numId w:val="25"/>
                              </w:numPr>
                              <w:rPr>
                                <w:rFonts w:cstheme="minorHAnsi"/>
                              </w:rPr>
                            </w:pPr>
                            <w:r>
                              <w:t xml:space="preserve">VCO support the AER’s adjustments to customer number and peak demand forecasts, as well as the proviso that numbers be adjusted as information becomes available. Most long-term forecasts predict an enduring lag in population numbers in Victoria rather than a V-shaped recovery. </w:t>
                            </w:r>
                          </w:p>
                          <w:p w14:paraId="01FA927F" w14:textId="0E9E48CF" w:rsidR="000655E0" w:rsidRPr="00C702BF" w:rsidRDefault="000655E0" w:rsidP="00C702BF">
                            <w:pPr>
                              <w:pStyle w:val="BodytextRPCbeforebullets"/>
                              <w:numPr>
                                <w:ilvl w:val="0"/>
                                <w:numId w:val="25"/>
                              </w:numPr>
                              <w:rPr>
                                <w:rFonts w:cstheme="minorHAnsi"/>
                              </w:rPr>
                            </w:pPr>
                            <w:r>
                              <w:t>The Pandemic has increased the uncertainty of forecasts, however adopting a conservative approach will support Victoria’s recovery and the wellbeing of Victorians particularly hard-hit. Drawing on non-network solutions to accommodate growth, will also allow an optimal response to long-term shifts resulting from the Pandemic.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572DC36" id="Text Box 14" o:spid="_x0000_s1029" type="#_x0000_t202" style="position:absolute;left:0;text-align:left;margin-left:6.3pt;margin-top:71.15pt;width:408.3pt;height:2in;z-index:2516725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" filled="f" strokeweight=".5pt">
                <v:textbox style="mso-fit-shape-to-text:t">
                  <w:txbxContent>
                    <w:p w14:paraId="389A4FC1" w14:textId="77777777" w:rsidR="000655E0" w:rsidRPr="000E2AE6" w:rsidRDefault="000655E0" w:rsidP="00CD06B9">
                      <w:pPr>
                        <w:pStyle w:val="BodytextRPCbeforebullets"/>
                        <w:shd w:val="clear" w:color="auto" w:fill="000000" w:themeFill="text1"/>
                        <w:rPr>
                          <w:rFonts w:asciiTheme="minorHAnsi" w:hAnsiTheme="minorHAnsi" w:cstheme="minorHAnsi"/>
                        </w:rPr>
                      </w:pPr>
                      <w:r>
                        <w:rPr>
                          <w:rFonts w:asciiTheme="minorHAnsi" w:hAnsiTheme="minorHAnsi" w:cstheme="minorHAnsi"/>
                        </w:rPr>
                        <w:t>Key points:</w:t>
                      </w:r>
                    </w:p>
                    <w:p w14:paraId="79568E7C" w14:textId="090E77AC" w:rsidR="000655E0" w:rsidRPr="00C702BF" w:rsidRDefault="000655E0" w:rsidP="00C702BF">
                      <w:pPr>
                        <w:pStyle w:val="BodytextRPCbeforebullets"/>
                        <w:numPr>
                          <w:ilvl w:val="0"/>
                          <w:numId w:val="25"/>
                        </w:numPr>
                        <w:rPr>
                          <w:rFonts w:cstheme="minorHAnsi"/>
                        </w:rPr>
                      </w:pPr>
                      <w:r>
                        <w:t xml:space="preserve">VCO support the AER’s adjustments to customer number and peak demand forecasts, as well as the proviso that numbers be adjusted as information becomes available. Most long-term forecasts predict an enduring lag in population numbers in Victoria rather than a V-shaped recovery. </w:t>
                      </w:r>
                    </w:p>
                    <w:p w14:paraId="01FA927F" w14:textId="0E9E48CF" w:rsidR="000655E0" w:rsidRPr="00C702BF" w:rsidRDefault="000655E0" w:rsidP="00C702BF">
                      <w:pPr>
                        <w:pStyle w:val="BodytextRPCbeforebullets"/>
                        <w:numPr>
                          <w:ilvl w:val="0"/>
                          <w:numId w:val="25"/>
                        </w:numPr>
                        <w:rPr>
                          <w:rFonts w:cstheme="minorHAnsi"/>
                        </w:rPr>
                      </w:pPr>
                      <w:r>
                        <w:t>The Pandemic has increased the uncertainty of forecasts, however adopting a conservative approach will support Victoria’s recovery and the wellbeing of Victorians particularly hard-hit. Drawing on non-network solutions to accommodate growth, will also allow an optimal response to long-term shifts resulting from the Pandemic.</w:t>
                      </w:r>
                    </w:p>
                  </w:txbxContent>
                </v:textbox>
                <w10:wrap type="square"/>
              </v:shape>
            </w:pict>
          </mc:Fallback>
        </mc:AlternateContent>
      </w:r>
      <w:r w:rsidR="005C2EC8" w:rsidRPr="00390B8E">
        <w:rPr>
          <w:color w:val="000000" w:themeColor="text1"/>
        </w:rPr>
        <w:t>Consultation should be undertaken</w:t>
      </w:r>
      <w:r w:rsidR="00CF36F7" w:rsidRPr="00390B8E">
        <w:rPr>
          <w:color w:val="000000" w:themeColor="text1"/>
        </w:rPr>
        <w:t xml:space="preserve"> with the Victorian Government to </w:t>
      </w:r>
      <w:r w:rsidR="00BA043A" w:rsidRPr="00390B8E">
        <w:rPr>
          <w:color w:val="000000" w:themeColor="text1"/>
        </w:rPr>
        <w:t xml:space="preserve">establish </w:t>
      </w:r>
      <w:r w:rsidR="005C2EC8" w:rsidRPr="00390B8E">
        <w:rPr>
          <w:color w:val="000000" w:themeColor="text1"/>
        </w:rPr>
        <w:t xml:space="preserve">the distribution of these dwellings. Where </w:t>
      </w:r>
      <w:r w:rsidR="005B3EEA" w:rsidRPr="00390B8E">
        <w:rPr>
          <w:color w:val="000000" w:themeColor="text1"/>
        </w:rPr>
        <w:t>locations are</w:t>
      </w:r>
      <w:r w:rsidR="00075BB4" w:rsidRPr="00390B8E">
        <w:rPr>
          <w:color w:val="000000" w:themeColor="text1"/>
        </w:rPr>
        <w:t xml:space="preserve"> undecided</w:t>
      </w:r>
      <w:r w:rsidR="005C2EC8" w:rsidRPr="00390B8E">
        <w:rPr>
          <w:color w:val="000000" w:themeColor="text1"/>
        </w:rPr>
        <w:t xml:space="preserve">, dwellings should be allocated </w:t>
      </w:r>
      <w:r w:rsidR="005B3EEA" w:rsidRPr="00390B8E">
        <w:rPr>
          <w:color w:val="000000" w:themeColor="text1"/>
        </w:rPr>
        <w:t>systematically</w:t>
      </w:r>
      <w:r w:rsidR="00075BB4" w:rsidRPr="00390B8E">
        <w:rPr>
          <w:color w:val="000000" w:themeColor="text1"/>
        </w:rPr>
        <w:t>, e.g. in proportion</w:t>
      </w:r>
      <w:r w:rsidR="005C2EC8" w:rsidRPr="00390B8E">
        <w:rPr>
          <w:color w:val="000000" w:themeColor="text1"/>
        </w:rPr>
        <w:t xml:space="preserve"> to existing customer numbers. </w:t>
      </w:r>
    </w:p>
    <w:p w14:paraId="0767C3E9" w14:textId="77777777" w:rsidR="005D62B5" w:rsidRPr="00390B8E" w:rsidRDefault="005D62B5" w:rsidP="005D62B5">
      <w:pPr>
        <w:pStyle w:val="BodytextRPC"/>
        <w:ind w:left="993"/>
        <w:rPr>
          <w:color w:val="000000" w:themeColor="text1"/>
        </w:rPr>
      </w:pPr>
    </w:p>
    <w:p w14:paraId="38459B65" w14:textId="088D824C" w:rsidR="00931B0F" w:rsidRPr="00390B8E" w:rsidRDefault="00205DC3" w:rsidP="00815A88">
      <w:pPr>
        <w:pStyle w:val="Heading1"/>
        <w:numPr>
          <w:ilvl w:val="0"/>
          <w:numId w:val="11"/>
        </w:numPr>
        <w:tabs>
          <w:tab w:val="left" w:pos="2694"/>
        </w:tabs>
      </w:pPr>
      <w:bookmarkStart w:id="13" w:name="_Toc61341268"/>
      <w:r w:rsidRPr="00390B8E">
        <w:t>Customer engagement</w:t>
      </w:r>
      <w:bookmarkEnd w:id="13"/>
    </w:p>
    <w:p w14:paraId="63BBE709" w14:textId="0C07D9C9" w:rsidR="00784085" w:rsidRPr="00390B8E" w:rsidRDefault="00784085" w:rsidP="00F4556F">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 xml:space="preserve">The </w:t>
      </w:r>
      <w:r w:rsidR="00944E04" w:rsidRPr="00390B8E">
        <w:rPr>
          <w:rFonts w:asciiTheme="minorHAnsi" w:hAnsiTheme="minorHAnsi" w:cstheme="minorHAnsi"/>
          <w:color w:val="000000" w:themeColor="text1"/>
        </w:rPr>
        <w:t xml:space="preserve">AER acknowledged input from the VCO and other stakeholders </w:t>
      </w:r>
      <w:r w:rsidR="00F30BC8" w:rsidRPr="00390B8E">
        <w:rPr>
          <w:rFonts w:asciiTheme="minorHAnsi" w:hAnsiTheme="minorHAnsi" w:cstheme="minorHAnsi"/>
          <w:color w:val="000000" w:themeColor="text1"/>
        </w:rPr>
        <w:t>that customer engagement undertaken by distributors should inform rather than determine regulatory outcomes, and that distributors’ representations of consumer priorities determined through engagement should not displace regulatory scrutiny.</w:t>
      </w:r>
    </w:p>
    <w:p w14:paraId="243AB476" w14:textId="420AC5C8" w:rsidR="009B620F" w:rsidRPr="00390B8E" w:rsidRDefault="009B620F" w:rsidP="009B620F">
      <w:pPr>
        <w:pStyle w:val="Heading2"/>
      </w:pPr>
      <w:bookmarkStart w:id="14" w:name="_Toc61341269"/>
      <w:r w:rsidRPr="00390B8E">
        <w:t>AER Framework for considering consumer engagement</w:t>
      </w:r>
      <w:bookmarkEnd w:id="14"/>
    </w:p>
    <w:p w14:paraId="24D33FC6" w14:textId="70035E0A" w:rsidR="00D05B56" w:rsidRPr="00390B8E" w:rsidRDefault="00A37AC5" w:rsidP="00F4556F">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 xml:space="preserve">The engagement presented to inform the EDPR process has been evaluated by the AER according to the framework outlined in Table </w:t>
      </w:r>
      <w:r w:rsidR="00D05B56" w:rsidRPr="00390B8E">
        <w:rPr>
          <w:rFonts w:asciiTheme="minorHAnsi" w:hAnsiTheme="minorHAnsi" w:cstheme="minorHAnsi"/>
          <w:color w:val="000000" w:themeColor="text1"/>
        </w:rPr>
        <w:t>7</w:t>
      </w:r>
      <w:r w:rsidRPr="00390B8E">
        <w:rPr>
          <w:rFonts w:asciiTheme="minorHAnsi" w:hAnsiTheme="minorHAnsi" w:cstheme="minorHAnsi"/>
          <w:color w:val="000000" w:themeColor="text1"/>
        </w:rPr>
        <w:t xml:space="preserve"> of the </w:t>
      </w:r>
      <w:r w:rsidR="00790520" w:rsidRPr="00390B8E">
        <w:rPr>
          <w:rFonts w:asciiTheme="minorHAnsi" w:hAnsiTheme="minorHAnsi" w:cstheme="minorHAnsi"/>
          <w:color w:val="000000" w:themeColor="text1"/>
        </w:rPr>
        <w:t>Draft D</w:t>
      </w:r>
      <w:r w:rsidRPr="00390B8E">
        <w:rPr>
          <w:rFonts w:asciiTheme="minorHAnsi" w:hAnsiTheme="minorHAnsi" w:cstheme="minorHAnsi"/>
          <w:color w:val="000000" w:themeColor="text1"/>
        </w:rPr>
        <w:t>etermination</w:t>
      </w:r>
      <w:r w:rsidR="00D05B56" w:rsidRPr="00390B8E">
        <w:rPr>
          <w:rFonts w:asciiTheme="minorHAnsi" w:hAnsiTheme="minorHAnsi" w:cstheme="minorHAnsi"/>
          <w:color w:val="000000" w:themeColor="text1"/>
        </w:rPr>
        <w:t xml:space="preserve">. These guidelines </w:t>
      </w:r>
      <w:r w:rsidR="007A24D6" w:rsidRPr="00390B8E">
        <w:rPr>
          <w:rFonts w:asciiTheme="minorHAnsi" w:hAnsiTheme="minorHAnsi" w:cstheme="minorHAnsi"/>
          <w:color w:val="000000" w:themeColor="text1"/>
        </w:rPr>
        <w:t>specify the</w:t>
      </w:r>
      <w:r w:rsidR="00D05B56" w:rsidRPr="00390B8E">
        <w:rPr>
          <w:rFonts w:asciiTheme="minorHAnsi" w:hAnsiTheme="minorHAnsi" w:cstheme="minorHAnsi"/>
          <w:color w:val="000000" w:themeColor="text1"/>
        </w:rPr>
        <w:t xml:space="preserve"> AER</w:t>
      </w:r>
      <w:r w:rsidR="007A24D6" w:rsidRPr="00390B8E">
        <w:rPr>
          <w:rFonts w:asciiTheme="minorHAnsi" w:hAnsiTheme="minorHAnsi" w:cstheme="minorHAnsi"/>
          <w:color w:val="000000" w:themeColor="text1"/>
        </w:rPr>
        <w:t>’s</w:t>
      </w:r>
      <w:r w:rsidR="00D05B56" w:rsidRPr="00390B8E">
        <w:rPr>
          <w:rFonts w:asciiTheme="minorHAnsi" w:hAnsiTheme="minorHAnsi" w:cstheme="minorHAnsi"/>
          <w:color w:val="000000" w:themeColor="text1"/>
        </w:rPr>
        <w:t xml:space="preserve"> </w:t>
      </w:r>
      <w:r w:rsidR="007A24D6" w:rsidRPr="00390B8E">
        <w:rPr>
          <w:rFonts w:asciiTheme="minorHAnsi" w:hAnsiTheme="minorHAnsi" w:cstheme="minorHAnsi"/>
          <w:color w:val="000000" w:themeColor="text1"/>
        </w:rPr>
        <w:t>weighting of</w:t>
      </w:r>
      <w:r w:rsidR="00D05B56" w:rsidRPr="00390B8E">
        <w:rPr>
          <w:rFonts w:asciiTheme="minorHAnsi" w:hAnsiTheme="minorHAnsi" w:cstheme="minorHAnsi"/>
          <w:color w:val="000000" w:themeColor="text1"/>
        </w:rPr>
        <w:t xml:space="preserve"> the </w:t>
      </w:r>
      <w:r w:rsidR="007A24D6" w:rsidRPr="00390B8E">
        <w:rPr>
          <w:rFonts w:asciiTheme="minorHAnsi" w:hAnsiTheme="minorHAnsi" w:cstheme="minorHAnsi"/>
          <w:color w:val="000000" w:themeColor="text1"/>
        </w:rPr>
        <w:t>outcome</w:t>
      </w:r>
      <w:r w:rsidR="00D05B56" w:rsidRPr="00390B8E">
        <w:rPr>
          <w:rFonts w:asciiTheme="minorHAnsi" w:hAnsiTheme="minorHAnsi" w:cstheme="minorHAnsi"/>
          <w:color w:val="000000" w:themeColor="text1"/>
        </w:rPr>
        <w:t xml:space="preserve"> of each </w:t>
      </w:r>
      <w:r w:rsidR="005A36F4" w:rsidRPr="00390B8E">
        <w:rPr>
          <w:rFonts w:asciiTheme="minorHAnsi" w:hAnsiTheme="minorHAnsi" w:cstheme="minorHAnsi"/>
          <w:color w:val="000000" w:themeColor="text1"/>
        </w:rPr>
        <w:t xml:space="preserve">consultation </w:t>
      </w:r>
      <w:r w:rsidR="00D05B56" w:rsidRPr="00390B8E">
        <w:rPr>
          <w:rFonts w:asciiTheme="minorHAnsi" w:hAnsiTheme="minorHAnsi" w:cstheme="minorHAnsi"/>
          <w:color w:val="000000" w:themeColor="text1"/>
        </w:rPr>
        <w:t xml:space="preserve">process. We support the AER’s position that this structure </w:t>
      </w:r>
      <w:r w:rsidR="00415AED" w:rsidRPr="00390B8E">
        <w:rPr>
          <w:rFonts w:asciiTheme="minorHAnsi" w:hAnsiTheme="minorHAnsi" w:cstheme="minorHAnsi"/>
          <w:color w:val="000000" w:themeColor="text1"/>
        </w:rPr>
        <w:t>is not a</w:t>
      </w:r>
      <w:r w:rsidR="00D05B56" w:rsidRPr="00390B8E">
        <w:rPr>
          <w:rFonts w:asciiTheme="minorHAnsi" w:hAnsiTheme="minorHAnsi" w:cstheme="minorHAnsi"/>
          <w:color w:val="000000" w:themeColor="text1"/>
        </w:rPr>
        <w:t xml:space="preserve"> ‘fixed view’</w:t>
      </w:r>
      <w:r w:rsidR="002C593C" w:rsidRPr="00390B8E">
        <w:rPr>
          <w:rFonts w:asciiTheme="minorHAnsi" w:hAnsiTheme="minorHAnsi" w:cstheme="minorHAnsi"/>
          <w:color w:val="000000" w:themeColor="text1"/>
        </w:rPr>
        <w:t>.</w:t>
      </w:r>
      <w:r w:rsidR="00D05B56" w:rsidRPr="00390B8E">
        <w:rPr>
          <w:rFonts w:asciiTheme="minorHAnsi" w:hAnsiTheme="minorHAnsi" w:cstheme="minorHAnsi"/>
          <w:color w:val="000000" w:themeColor="text1"/>
        </w:rPr>
        <w:t xml:space="preserve"> </w:t>
      </w:r>
      <w:r w:rsidR="002C593C" w:rsidRPr="00390B8E">
        <w:rPr>
          <w:rFonts w:asciiTheme="minorHAnsi" w:hAnsiTheme="minorHAnsi" w:cstheme="minorHAnsi"/>
          <w:color w:val="000000" w:themeColor="text1"/>
        </w:rPr>
        <w:t>I</w:t>
      </w:r>
      <w:r w:rsidR="00D05B56" w:rsidRPr="00390B8E">
        <w:rPr>
          <w:rFonts w:asciiTheme="minorHAnsi" w:hAnsiTheme="minorHAnsi" w:cstheme="minorHAnsi"/>
          <w:color w:val="000000" w:themeColor="text1"/>
        </w:rPr>
        <w:t xml:space="preserve">t is important that critical evaluation is applied to all distributor-led customer engagement processes, and </w:t>
      </w:r>
      <w:r w:rsidR="00893365" w:rsidRPr="00390B8E">
        <w:rPr>
          <w:rFonts w:asciiTheme="minorHAnsi" w:hAnsiTheme="minorHAnsi" w:cstheme="minorHAnsi"/>
          <w:color w:val="000000" w:themeColor="text1"/>
        </w:rPr>
        <w:t xml:space="preserve">the weight given to </w:t>
      </w:r>
      <w:r w:rsidR="00415AED" w:rsidRPr="00390B8E">
        <w:rPr>
          <w:rFonts w:asciiTheme="minorHAnsi" w:hAnsiTheme="minorHAnsi" w:cstheme="minorHAnsi"/>
          <w:color w:val="000000" w:themeColor="text1"/>
        </w:rPr>
        <w:t>engagement outcomes</w:t>
      </w:r>
      <w:r w:rsidR="00893365" w:rsidRPr="00390B8E">
        <w:rPr>
          <w:rFonts w:asciiTheme="minorHAnsi" w:hAnsiTheme="minorHAnsi" w:cstheme="minorHAnsi"/>
          <w:color w:val="000000" w:themeColor="text1"/>
        </w:rPr>
        <w:t xml:space="preserve"> may need to change in different contexts. </w:t>
      </w:r>
      <w:r w:rsidR="00D05B56" w:rsidRPr="00390B8E">
        <w:rPr>
          <w:rFonts w:asciiTheme="minorHAnsi" w:hAnsiTheme="minorHAnsi" w:cstheme="minorHAnsi"/>
          <w:color w:val="000000" w:themeColor="text1"/>
        </w:rPr>
        <w:t xml:space="preserve"> </w:t>
      </w:r>
    </w:p>
    <w:p w14:paraId="3164F8E8" w14:textId="6884DB6F" w:rsidR="00D05B56" w:rsidRPr="00390B8E" w:rsidRDefault="00D05B56" w:rsidP="00F4556F">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lastRenderedPageBreak/>
        <w:t xml:space="preserve">Much of </w:t>
      </w:r>
      <w:r w:rsidR="00893365" w:rsidRPr="00390B8E">
        <w:rPr>
          <w:rFonts w:asciiTheme="minorHAnsi" w:hAnsiTheme="minorHAnsi" w:cstheme="minorHAnsi"/>
          <w:color w:val="000000" w:themeColor="text1"/>
        </w:rPr>
        <w:t>the Table 7</w:t>
      </w:r>
      <w:r w:rsidRPr="00390B8E">
        <w:rPr>
          <w:rFonts w:asciiTheme="minorHAnsi" w:hAnsiTheme="minorHAnsi" w:cstheme="minorHAnsi"/>
          <w:color w:val="000000" w:themeColor="text1"/>
        </w:rPr>
        <w:t xml:space="preserve"> framework is appropriate</w:t>
      </w:r>
      <w:r w:rsidR="00893365" w:rsidRPr="00390B8E">
        <w:rPr>
          <w:rFonts w:asciiTheme="minorHAnsi" w:hAnsiTheme="minorHAnsi" w:cstheme="minorHAnsi"/>
          <w:color w:val="000000" w:themeColor="text1"/>
        </w:rPr>
        <w:t>,</w:t>
      </w:r>
      <w:r w:rsidRPr="00390B8E">
        <w:rPr>
          <w:rFonts w:asciiTheme="minorHAnsi" w:hAnsiTheme="minorHAnsi" w:cstheme="minorHAnsi"/>
          <w:color w:val="000000" w:themeColor="text1"/>
        </w:rPr>
        <w:t xml:space="preserve"> and in line with</w:t>
      </w:r>
      <w:r w:rsidR="00415AED" w:rsidRPr="00390B8E">
        <w:rPr>
          <w:rFonts w:asciiTheme="minorHAnsi" w:hAnsiTheme="minorHAnsi" w:cstheme="minorHAnsi"/>
          <w:color w:val="000000" w:themeColor="text1"/>
        </w:rPr>
        <w:t xml:space="preserve"> existing</w:t>
      </w:r>
      <w:r w:rsidRPr="00390B8E">
        <w:rPr>
          <w:rFonts w:asciiTheme="minorHAnsi" w:hAnsiTheme="minorHAnsi" w:cstheme="minorHAnsi"/>
          <w:color w:val="000000" w:themeColor="text1"/>
        </w:rPr>
        <w:t xml:space="preserve"> industry guidance </w:t>
      </w:r>
      <w:r w:rsidR="00893365" w:rsidRPr="00390B8E">
        <w:rPr>
          <w:rFonts w:asciiTheme="minorHAnsi" w:hAnsiTheme="minorHAnsi" w:cstheme="minorHAnsi"/>
          <w:color w:val="000000" w:themeColor="text1"/>
        </w:rPr>
        <w:t xml:space="preserve">such as the </w:t>
      </w:r>
      <w:r w:rsidR="00762648" w:rsidRPr="00390B8E">
        <w:rPr>
          <w:rFonts w:asciiTheme="minorHAnsi" w:hAnsiTheme="minorHAnsi" w:cstheme="minorHAnsi"/>
          <w:color w:val="000000" w:themeColor="text1"/>
        </w:rPr>
        <w:t>2016</w:t>
      </w:r>
      <w:r w:rsidR="00893365" w:rsidRPr="00390B8E">
        <w:rPr>
          <w:rFonts w:asciiTheme="minorHAnsi" w:hAnsiTheme="minorHAnsi" w:cstheme="minorHAnsi"/>
          <w:color w:val="000000" w:themeColor="text1"/>
        </w:rPr>
        <w:t xml:space="preserve"> Guideline from </w:t>
      </w:r>
      <w:r w:rsidR="00790520" w:rsidRPr="00390B8E">
        <w:rPr>
          <w:rFonts w:asciiTheme="minorHAnsi" w:hAnsiTheme="minorHAnsi" w:cstheme="minorHAnsi"/>
          <w:color w:val="000000" w:themeColor="text1"/>
        </w:rPr>
        <w:t>Energy Networks Australia (ENA)</w:t>
      </w:r>
      <w:r w:rsidR="00893365" w:rsidRPr="00390B8E">
        <w:rPr>
          <w:rFonts w:asciiTheme="minorHAnsi" w:hAnsiTheme="minorHAnsi" w:cstheme="minorHAnsi"/>
          <w:color w:val="000000" w:themeColor="text1"/>
        </w:rPr>
        <w:t>.</w:t>
      </w:r>
      <w:r w:rsidR="00762648" w:rsidRPr="00390B8E">
        <w:rPr>
          <w:rStyle w:val="FootnoteReference"/>
          <w:rFonts w:cstheme="minorHAnsi"/>
          <w:color w:val="000000" w:themeColor="text1"/>
        </w:rPr>
        <w:footnoteReference w:id="17"/>
      </w:r>
    </w:p>
    <w:p w14:paraId="3F8FFDFE" w14:textId="08BC6688" w:rsidR="00893365" w:rsidRPr="00390B8E" w:rsidRDefault="00893365" w:rsidP="00F4556F">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 xml:space="preserve">We note that the table does not include the </w:t>
      </w:r>
      <w:r w:rsidR="002C593C" w:rsidRPr="00390B8E">
        <w:rPr>
          <w:rFonts w:asciiTheme="minorHAnsi" w:hAnsiTheme="minorHAnsi" w:cstheme="minorHAnsi"/>
          <w:color w:val="000000" w:themeColor="text1"/>
        </w:rPr>
        <w:t xml:space="preserve">common </w:t>
      </w:r>
      <w:r w:rsidRPr="00390B8E">
        <w:rPr>
          <w:rFonts w:asciiTheme="minorHAnsi" w:hAnsiTheme="minorHAnsi" w:cstheme="minorHAnsi"/>
          <w:color w:val="000000" w:themeColor="text1"/>
        </w:rPr>
        <w:t>requirement</w:t>
      </w:r>
      <w:r w:rsidRPr="00390B8E">
        <w:rPr>
          <w:rStyle w:val="FootnoteReference"/>
          <w:rFonts w:cstheme="minorHAnsi"/>
          <w:color w:val="000000" w:themeColor="text1"/>
        </w:rPr>
        <w:footnoteReference w:id="18"/>
      </w:r>
      <w:r w:rsidRPr="00390B8E">
        <w:rPr>
          <w:rFonts w:asciiTheme="minorHAnsi" w:hAnsiTheme="minorHAnsi" w:cstheme="minorHAnsi"/>
          <w:color w:val="000000" w:themeColor="text1"/>
        </w:rPr>
        <w:t xml:space="preserve"> </w:t>
      </w:r>
      <w:r w:rsidR="002C593C" w:rsidRPr="00390B8E">
        <w:rPr>
          <w:rFonts w:asciiTheme="minorHAnsi" w:hAnsiTheme="minorHAnsi" w:cstheme="minorHAnsi"/>
          <w:color w:val="000000" w:themeColor="text1"/>
        </w:rPr>
        <w:t>to account</w:t>
      </w:r>
      <w:r w:rsidR="00415AED" w:rsidRPr="00390B8E">
        <w:rPr>
          <w:rFonts w:asciiTheme="minorHAnsi" w:hAnsiTheme="minorHAnsi" w:cstheme="minorHAnsi"/>
          <w:color w:val="000000" w:themeColor="text1"/>
        </w:rPr>
        <w:t xml:space="preserve"> for</w:t>
      </w:r>
      <w:r w:rsidR="00870DD6" w:rsidRPr="00390B8E">
        <w:rPr>
          <w:rFonts w:asciiTheme="minorHAnsi" w:hAnsiTheme="minorHAnsi" w:cstheme="minorHAnsi"/>
          <w:color w:val="000000" w:themeColor="text1"/>
        </w:rPr>
        <w:t xml:space="preserve"> diversity within the customer base, and </w:t>
      </w:r>
      <w:r w:rsidRPr="00390B8E">
        <w:rPr>
          <w:rFonts w:asciiTheme="minorHAnsi" w:hAnsiTheme="minorHAnsi" w:cstheme="minorHAnsi"/>
          <w:color w:val="000000" w:themeColor="text1"/>
        </w:rPr>
        <w:t xml:space="preserve">understanding </w:t>
      </w:r>
      <w:r w:rsidR="00870DD6" w:rsidRPr="00390B8E">
        <w:rPr>
          <w:rFonts w:asciiTheme="minorHAnsi" w:hAnsiTheme="minorHAnsi" w:cstheme="minorHAnsi"/>
          <w:color w:val="000000" w:themeColor="text1"/>
        </w:rPr>
        <w:t xml:space="preserve">the priorities </w:t>
      </w:r>
      <w:r w:rsidRPr="00390B8E">
        <w:rPr>
          <w:rFonts w:asciiTheme="minorHAnsi" w:hAnsiTheme="minorHAnsi" w:cstheme="minorHAnsi"/>
          <w:color w:val="000000" w:themeColor="text1"/>
        </w:rPr>
        <w:t xml:space="preserve">of </w:t>
      </w:r>
      <w:r w:rsidR="00415AED" w:rsidRPr="00390B8E">
        <w:rPr>
          <w:rFonts w:asciiTheme="minorHAnsi" w:hAnsiTheme="minorHAnsi" w:cstheme="minorHAnsi"/>
          <w:color w:val="000000" w:themeColor="text1"/>
        </w:rPr>
        <w:t>customer sectors</w:t>
      </w:r>
      <w:r w:rsidRPr="00390B8E">
        <w:rPr>
          <w:rFonts w:asciiTheme="minorHAnsi" w:hAnsiTheme="minorHAnsi" w:cstheme="minorHAnsi"/>
          <w:color w:val="000000" w:themeColor="text1"/>
        </w:rPr>
        <w:t>. We think this is an important consideration – especially for low income and vulnerable customers</w:t>
      </w:r>
      <w:r w:rsidR="0083435F" w:rsidRPr="00390B8E">
        <w:rPr>
          <w:rFonts w:asciiTheme="minorHAnsi" w:hAnsiTheme="minorHAnsi" w:cstheme="minorHAnsi"/>
          <w:color w:val="000000" w:themeColor="text1"/>
        </w:rPr>
        <w:t>, for whom access to an essential service</w:t>
      </w:r>
      <w:r w:rsidR="00415AED" w:rsidRPr="00390B8E">
        <w:rPr>
          <w:rFonts w:asciiTheme="minorHAnsi" w:hAnsiTheme="minorHAnsi" w:cstheme="minorHAnsi"/>
          <w:color w:val="000000" w:themeColor="text1"/>
        </w:rPr>
        <w:t xml:space="preserve"> may sometimes be </w:t>
      </w:r>
      <w:r w:rsidR="002C593C" w:rsidRPr="00390B8E">
        <w:rPr>
          <w:rFonts w:asciiTheme="minorHAnsi" w:hAnsiTheme="minorHAnsi" w:cstheme="minorHAnsi"/>
          <w:color w:val="000000" w:themeColor="text1"/>
        </w:rPr>
        <w:t xml:space="preserve">in the </w:t>
      </w:r>
      <w:r w:rsidR="00415AED" w:rsidRPr="00390B8E">
        <w:rPr>
          <w:rFonts w:asciiTheme="minorHAnsi" w:hAnsiTheme="minorHAnsi" w:cstheme="minorHAnsi"/>
          <w:color w:val="000000" w:themeColor="text1"/>
        </w:rPr>
        <w:t xml:space="preserve">balance against </w:t>
      </w:r>
      <w:r w:rsidR="002C593C" w:rsidRPr="00390B8E">
        <w:rPr>
          <w:rFonts w:asciiTheme="minorHAnsi" w:hAnsiTheme="minorHAnsi" w:cstheme="minorHAnsi"/>
          <w:color w:val="000000" w:themeColor="text1"/>
        </w:rPr>
        <w:t xml:space="preserve">other customers’ </w:t>
      </w:r>
      <w:r w:rsidR="00415AED" w:rsidRPr="00390B8E">
        <w:rPr>
          <w:rFonts w:asciiTheme="minorHAnsi" w:hAnsiTheme="minorHAnsi" w:cstheme="minorHAnsi"/>
          <w:color w:val="000000" w:themeColor="text1"/>
        </w:rPr>
        <w:t>willingness</w:t>
      </w:r>
      <w:r w:rsidR="002C593C" w:rsidRPr="00390B8E">
        <w:rPr>
          <w:rFonts w:asciiTheme="minorHAnsi" w:hAnsiTheme="minorHAnsi" w:cstheme="minorHAnsi"/>
          <w:color w:val="000000" w:themeColor="text1"/>
        </w:rPr>
        <w:t>-</w:t>
      </w:r>
      <w:r w:rsidR="00415AED" w:rsidRPr="00390B8E">
        <w:rPr>
          <w:rFonts w:asciiTheme="minorHAnsi" w:hAnsiTheme="minorHAnsi" w:cstheme="minorHAnsi"/>
          <w:color w:val="000000" w:themeColor="text1"/>
        </w:rPr>
        <w:t>to</w:t>
      </w:r>
      <w:r w:rsidR="002C593C" w:rsidRPr="00390B8E">
        <w:rPr>
          <w:rFonts w:asciiTheme="minorHAnsi" w:hAnsiTheme="minorHAnsi" w:cstheme="minorHAnsi"/>
          <w:color w:val="000000" w:themeColor="text1"/>
        </w:rPr>
        <w:t>-</w:t>
      </w:r>
      <w:r w:rsidR="00415AED" w:rsidRPr="00390B8E">
        <w:rPr>
          <w:rFonts w:asciiTheme="minorHAnsi" w:hAnsiTheme="minorHAnsi" w:cstheme="minorHAnsi"/>
          <w:color w:val="000000" w:themeColor="text1"/>
        </w:rPr>
        <w:t>pay for non-core services</w:t>
      </w:r>
      <w:r w:rsidR="002C593C" w:rsidRPr="00390B8E">
        <w:rPr>
          <w:rFonts w:asciiTheme="minorHAnsi" w:hAnsiTheme="minorHAnsi" w:cstheme="minorHAnsi"/>
          <w:color w:val="000000" w:themeColor="text1"/>
        </w:rPr>
        <w:t>.</w:t>
      </w:r>
    </w:p>
    <w:p w14:paraId="4CF785B5" w14:textId="08A439E1" w:rsidR="00671391" w:rsidRPr="00390B8E" w:rsidRDefault="0083435F" w:rsidP="00F4556F">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 xml:space="preserve">We note that the CPPALUE </w:t>
      </w:r>
      <w:r w:rsidR="00605554" w:rsidRPr="00390B8E">
        <w:rPr>
          <w:rFonts w:asciiTheme="minorHAnsi" w:hAnsiTheme="minorHAnsi" w:cstheme="minorHAnsi"/>
          <w:color w:val="000000" w:themeColor="text1"/>
        </w:rPr>
        <w:t>engagement program</w:t>
      </w:r>
      <w:r w:rsidR="00671391" w:rsidRPr="00390B8E">
        <w:rPr>
          <w:rFonts w:asciiTheme="minorHAnsi" w:hAnsiTheme="minorHAnsi" w:cstheme="minorHAnsi"/>
          <w:color w:val="000000" w:themeColor="text1"/>
        </w:rPr>
        <w:t xml:space="preserve"> was </w:t>
      </w:r>
      <w:r w:rsidR="006419F3" w:rsidRPr="00390B8E">
        <w:rPr>
          <w:rFonts w:asciiTheme="minorHAnsi" w:hAnsiTheme="minorHAnsi" w:cstheme="minorHAnsi"/>
          <w:color w:val="000000" w:themeColor="text1"/>
        </w:rPr>
        <w:t>the most successful of the Victorian EDPR processes in</w:t>
      </w:r>
      <w:r w:rsidR="00671391" w:rsidRPr="00390B8E">
        <w:rPr>
          <w:rFonts w:asciiTheme="minorHAnsi" w:hAnsiTheme="minorHAnsi" w:cstheme="minorHAnsi"/>
          <w:color w:val="000000" w:themeColor="text1"/>
        </w:rPr>
        <w:t xml:space="preserve"> </w:t>
      </w:r>
      <w:r w:rsidR="006419F3" w:rsidRPr="00390B8E">
        <w:rPr>
          <w:rFonts w:asciiTheme="minorHAnsi" w:hAnsiTheme="minorHAnsi" w:cstheme="minorHAnsi"/>
          <w:color w:val="000000" w:themeColor="text1"/>
        </w:rPr>
        <w:t>testing the</w:t>
      </w:r>
      <w:r w:rsidR="00582A2F" w:rsidRPr="00390B8E">
        <w:rPr>
          <w:rFonts w:asciiTheme="minorHAnsi" w:hAnsiTheme="minorHAnsi" w:cstheme="minorHAnsi"/>
          <w:color w:val="000000" w:themeColor="text1"/>
        </w:rPr>
        <w:t xml:space="preserve"> </w:t>
      </w:r>
      <w:r w:rsidR="006419F3" w:rsidRPr="00390B8E">
        <w:rPr>
          <w:rFonts w:asciiTheme="minorHAnsi" w:hAnsiTheme="minorHAnsi" w:cstheme="minorHAnsi"/>
          <w:color w:val="000000" w:themeColor="text1"/>
        </w:rPr>
        <w:t>priorities of different sectors within</w:t>
      </w:r>
      <w:r w:rsidR="002F028F" w:rsidRPr="00390B8E">
        <w:rPr>
          <w:rFonts w:asciiTheme="minorHAnsi" w:hAnsiTheme="minorHAnsi" w:cstheme="minorHAnsi"/>
          <w:color w:val="000000" w:themeColor="text1"/>
        </w:rPr>
        <w:t xml:space="preserve"> their </w:t>
      </w:r>
      <w:r w:rsidR="006419F3" w:rsidRPr="00390B8E">
        <w:rPr>
          <w:rFonts w:asciiTheme="minorHAnsi" w:hAnsiTheme="minorHAnsi" w:cstheme="minorHAnsi"/>
          <w:color w:val="000000" w:themeColor="text1"/>
        </w:rPr>
        <w:t>base</w:t>
      </w:r>
      <w:r w:rsidRPr="00390B8E">
        <w:rPr>
          <w:rFonts w:asciiTheme="minorHAnsi" w:hAnsiTheme="minorHAnsi" w:cstheme="minorHAnsi"/>
          <w:color w:val="000000" w:themeColor="text1"/>
        </w:rPr>
        <w:t xml:space="preserve">. While Jemena </w:t>
      </w:r>
      <w:r w:rsidR="002F028F" w:rsidRPr="00390B8E">
        <w:rPr>
          <w:rFonts w:asciiTheme="minorHAnsi" w:hAnsiTheme="minorHAnsi" w:cstheme="minorHAnsi"/>
          <w:color w:val="000000" w:themeColor="text1"/>
        </w:rPr>
        <w:t>accounted for</w:t>
      </w:r>
      <w:r w:rsidRPr="00390B8E">
        <w:rPr>
          <w:rFonts w:asciiTheme="minorHAnsi" w:hAnsiTheme="minorHAnsi" w:cstheme="minorHAnsi"/>
          <w:color w:val="000000" w:themeColor="text1"/>
        </w:rPr>
        <w:t xml:space="preserve"> diversity in the proportional makeup of the People’s Panel, </w:t>
      </w:r>
      <w:r w:rsidR="006419F3" w:rsidRPr="00390B8E">
        <w:rPr>
          <w:rFonts w:asciiTheme="minorHAnsi" w:hAnsiTheme="minorHAnsi" w:cstheme="minorHAnsi"/>
          <w:color w:val="000000" w:themeColor="text1"/>
        </w:rPr>
        <w:t>their approach</w:t>
      </w:r>
      <w:r w:rsidRPr="00390B8E">
        <w:rPr>
          <w:rFonts w:asciiTheme="minorHAnsi" w:hAnsiTheme="minorHAnsi" w:cstheme="minorHAnsi"/>
          <w:color w:val="000000" w:themeColor="text1"/>
        </w:rPr>
        <w:t xml:space="preserve"> </w:t>
      </w:r>
      <w:r w:rsidR="00671391" w:rsidRPr="00390B8E">
        <w:rPr>
          <w:rFonts w:asciiTheme="minorHAnsi" w:hAnsiTheme="minorHAnsi" w:cstheme="minorHAnsi"/>
          <w:color w:val="000000" w:themeColor="text1"/>
        </w:rPr>
        <w:t>did not</w:t>
      </w:r>
      <w:r w:rsidR="002F028F" w:rsidRPr="00390B8E">
        <w:rPr>
          <w:rFonts w:asciiTheme="minorHAnsi" w:hAnsiTheme="minorHAnsi" w:cstheme="minorHAnsi"/>
          <w:color w:val="000000" w:themeColor="text1"/>
        </w:rPr>
        <w:t xml:space="preserve"> allow</w:t>
      </w:r>
      <w:r w:rsidRPr="00390B8E">
        <w:rPr>
          <w:rFonts w:asciiTheme="minorHAnsi" w:hAnsiTheme="minorHAnsi" w:cstheme="minorHAnsi"/>
          <w:color w:val="000000" w:themeColor="text1"/>
        </w:rPr>
        <w:t xml:space="preserve"> </w:t>
      </w:r>
      <w:r w:rsidR="002F028F" w:rsidRPr="00390B8E">
        <w:rPr>
          <w:rFonts w:asciiTheme="minorHAnsi" w:hAnsiTheme="minorHAnsi" w:cstheme="minorHAnsi"/>
          <w:color w:val="000000" w:themeColor="text1"/>
        </w:rPr>
        <w:t xml:space="preserve">distinction between </w:t>
      </w:r>
      <w:r w:rsidR="006419F3" w:rsidRPr="00390B8E">
        <w:rPr>
          <w:rFonts w:asciiTheme="minorHAnsi" w:hAnsiTheme="minorHAnsi" w:cstheme="minorHAnsi"/>
          <w:color w:val="000000" w:themeColor="text1"/>
        </w:rPr>
        <w:t>the groups’</w:t>
      </w:r>
      <w:r w:rsidR="002F028F" w:rsidRPr="00390B8E">
        <w:rPr>
          <w:rFonts w:asciiTheme="minorHAnsi" w:hAnsiTheme="minorHAnsi" w:cstheme="minorHAnsi"/>
          <w:color w:val="000000" w:themeColor="text1"/>
        </w:rPr>
        <w:t xml:space="preserve"> </w:t>
      </w:r>
      <w:r w:rsidR="00671391" w:rsidRPr="00390B8E">
        <w:rPr>
          <w:rFonts w:asciiTheme="minorHAnsi" w:hAnsiTheme="minorHAnsi" w:cstheme="minorHAnsi"/>
          <w:color w:val="000000" w:themeColor="text1"/>
        </w:rPr>
        <w:t>priorities</w:t>
      </w:r>
      <w:r w:rsidRPr="00390B8E">
        <w:rPr>
          <w:rFonts w:asciiTheme="minorHAnsi" w:hAnsiTheme="minorHAnsi" w:cstheme="minorHAnsi"/>
          <w:color w:val="000000" w:themeColor="text1"/>
        </w:rPr>
        <w:t xml:space="preserve">. </w:t>
      </w:r>
      <w:r w:rsidR="002F028F" w:rsidRPr="00390B8E">
        <w:rPr>
          <w:rFonts w:asciiTheme="minorHAnsi" w:hAnsiTheme="minorHAnsi" w:cstheme="minorHAnsi"/>
          <w:color w:val="000000" w:themeColor="text1"/>
        </w:rPr>
        <w:t>Understanding diversity</w:t>
      </w:r>
      <w:r w:rsidR="00AB2399" w:rsidRPr="00390B8E">
        <w:rPr>
          <w:rFonts w:asciiTheme="minorHAnsi" w:hAnsiTheme="minorHAnsi" w:cstheme="minorHAnsi"/>
          <w:color w:val="000000" w:themeColor="text1"/>
        </w:rPr>
        <w:t xml:space="preserve"> was a </w:t>
      </w:r>
      <w:r w:rsidR="00671391" w:rsidRPr="00390B8E">
        <w:rPr>
          <w:rFonts w:asciiTheme="minorHAnsi" w:hAnsiTheme="minorHAnsi" w:cstheme="minorHAnsi"/>
          <w:color w:val="000000" w:themeColor="text1"/>
        </w:rPr>
        <w:t xml:space="preserve">particular </w:t>
      </w:r>
      <w:r w:rsidR="00AB2399" w:rsidRPr="00390B8E">
        <w:rPr>
          <w:rFonts w:asciiTheme="minorHAnsi" w:hAnsiTheme="minorHAnsi" w:cstheme="minorHAnsi"/>
          <w:color w:val="000000" w:themeColor="text1"/>
        </w:rPr>
        <w:t xml:space="preserve">weakness of </w:t>
      </w:r>
      <w:r w:rsidR="00B46557" w:rsidRPr="00390B8E">
        <w:rPr>
          <w:rFonts w:asciiTheme="minorHAnsi" w:hAnsiTheme="minorHAnsi" w:cstheme="minorHAnsi"/>
          <w:color w:val="000000" w:themeColor="text1"/>
        </w:rPr>
        <w:t>AusNet</w:t>
      </w:r>
      <w:r w:rsidR="00AB2399" w:rsidRPr="00390B8E">
        <w:rPr>
          <w:rFonts w:asciiTheme="minorHAnsi" w:hAnsiTheme="minorHAnsi" w:cstheme="minorHAnsi"/>
          <w:color w:val="000000" w:themeColor="text1"/>
        </w:rPr>
        <w:t xml:space="preserve"> Services’ program.</w:t>
      </w:r>
      <w:r w:rsidR="00671391" w:rsidRPr="00390B8E">
        <w:rPr>
          <w:rFonts w:asciiTheme="minorHAnsi" w:hAnsiTheme="minorHAnsi" w:cstheme="minorHAnsi"/>
          <w:color w:val="000000" w:themeColor="text1"/>
        </w:rPr>
        <w:t xml:space="preserve"> It’s possible that the CPPALUE program’s focus on customer segmentation may have </w:t>
      </w:r>
      <w:r w:rsidR="006419F3" w:rsidRPr="00390B8E">
        <w:rPr>
          <w:rFonts w:asciiTheme="minorHAnsi" w:hAnsiTheme="minorHAnsi" w:cstheme="minorHAnsi"/>
          <w:color w:val="000000" w:themeColor="text1"/>
        </w:rPr>
        <w:t>contributed to the</w:t>
      </w:r>
      <w:r w:rsidR="002B3F75" w:rsidRPr="00390B8E">
        <w:rPr>
          <w:rFonts w:asciiTheme="minorHAnsi" w:hAnsiTheme="minorHAnsi" w:cstheme="minorHAnsi"/>
          <w:color w:val="000000" w:themeColor="text1"/>
        </w:rPr>
        <w:t xml:space="preserve"> fact that their customers were less directly </w:t>
      </w:r>
      <w:r w:rsidR="00671391" w:rsidRPr="00390B8E">
        <w:rPr>
          <w:rFonts w:asciiTheme="minorHAnsi" w:hAnsiTheme="minorHAnsi" w:cstheme="minorHAnsi"/>
          <w:color w:val="000000" w:themeColor="text1"/>
        </w:rPr>
        <w:t>‘involved’ in decision making</w:t>
      </w:r>
      <w:r w:rsidR="002B3F75" w:rsidRPr="00390B8E">
        <w:rPr>
          <w:rFonts w:asciiTheme="minorHAnsi" w:hAnsiTheme="minorHAnsi" w:cstheme="minorHAnsi"/>
          <w:color w:val="000000" w:themeColor="text1"/>
        </w:rPr>
        <w:t xml:space="preserve">. Where different groups are surveyed separately, </w:t>
      </w:r>
      <w:r w:rsidR="00671391" w:rsidRPr="00390B8E">
        <w:rPr>
          <w:rFonts w:asciiTheme="minorHAnsi" w:hAnsiTheme="minorHAnsi" w:cstheme="minorHAnsi"/>
          <w:color w:val="000000" w:themeColor="text1"/>
        </w:rPr>
        <w:t xml:space="preserve">a third party </w:t>
      </w:r>
      <w:r w:rsidR="002B3F75" w:rsidRPr="00390B8E">
        <w:rPr>
          <w:rFonts w:asciiTheme="minorHAnsi" w:hAnsiTheme="minorHAnsi" w:cstheme="minorHAnsi"/>
          <w:color w:val="000000" w:themeColor="text1"/>
        </w:rPr>
        <w:t xml:space="preserve">is required </w:t>
      </w:r>
      <w:r w:rsidR="00671391" w:rsidRPr="00390B8E">
        <w:rPr>
          <w:rFonts w:asciiTheme="minorHAnsi" w:hAnsiTheme="minorHAnsi" w:cstheme="minorHAnsi"/>
          <w:color w:val="000000" w:themeColor="text1"/>
        </w:rPr>
        <w:t>to synthesise results</w:t>
      </w:r>
      <w:r w:rsidR="002B3F75" w:rsidRPr="00390B8E">
        <w:rPr>
          <w:rFonts w:asciiTheme="minorHAnsi" w:hAnsiTheme="minorHAnsi" w:cstheme="minorHAnsi"/>
          <w:color w:val="000000" w:themeColor="text1"/>
        </w:rPr>
        <w:t xml:space="preserve">, which might interrupt direct involvement. </w:t>
      </w:r>
    </w:p>
    <w:p w14:paraId="644BE8C7" w14:textId="77777777" w:rsidR="002B3F75" w:rsidRPr="00390B8E" w:rsidRDefault="003E60D1" w:rsidP="00F4556F">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 xml:space="preserve">The different advantages and disadvantages of the various approaches taken to customer engagement </w:t>
      </w:r>
      <w:r w:rsidR="002B3F75" w:rsidRPr="00390B8E">
        <w:rPr>
          <w:rFonts w:asciiTheme="minorHAnsi" w:hAnsiTheme="minorHAnsi" w:cstheme="minorHAnsi"/>
          <w:color w:val="000000" w:themeColor="text1"/>
        </w:rPr>
        <w:t>reflects</w:t>
      </w:r>
      <w:r w:rsidRPr="00390B8E">
        <w:rPr>
          <w:rFonts w:asciiTheme="minorHAnsi" w:hAnsiTheme="minorHAnsi" w:cstheme="minorHAnsi"/>
          <w:color w:val="000000" w:themeColor="text1"/>
        </w:rPr>
        <w:t xml:space="preserve"> the fact that there are limits to which engagement can accurately reflect customer priorities</w:t>
      </w:r>
      <w:r w:rsidR="002B3F75" w:rsidRPr="00390B8E">
        <w:rPr>
          <w:rFonts w:asciiTheme="minorHAnsi" w:hAnsiTheme="minorHAnsi" w:cstheme="minorHAnsi"/>
          <w:color w:val="000000" w:themeColor="text1"/>
        </w:rPr>
        <w:t>. B</w:t>
      </w:r>
      <w:r w:rsidRPr="00390B8E">
        <w:rPr>
          <w:rFonts w:asciiTheme="minorHAnsi" w:hAnsiTheme="minorHAnsi" w:cstheme="minorHAnsi"/>
          <w:color w:val="000000" w:themeColor="text1"/>
        </w:rPr>
        <w:t>arriers such as the imbalance in knowledge between the parties</w:t>
      </w:r>
      <w:r w:rsidR="002B3F75" w:rsidRPr="00390B8E">
        <w:rPr>
          <w:rFonts w:asciiTheme="minorHAnsi" w:hAnsiTheme="minorHAnsi" w:cstheme="minorHAnsi"/>
          <w:color w:val="000000" w:themeColor="text1"/>
        </w:rPr>
        <w:t xml:space="preserve"> can be ameliorated, but not resolved</w:t>
      </w:r>
      <w:r w:rsidRPr="00390B8E">
        <w:rPr>
          <w:rFonts w:asciiTheme="minorHAnsi" w:hAnsiTheme="minorHAnsi" w:cstheme="minorHAnsi"/>
          <w:color w:val="000000" w:themeColor="text1"/>
        </w:rPr>
        <w:t xml:space="preserve">. </w:t>
      </w:r>
    </w:p>
    <w:p w14:paraId="26753CC9" w14:textId="5D813425" w:rsidR="008B44C5" w:rsidRPr="00390B8E" w:rsidRDefault="008B44C5" w:rsidP="008B44C5">
      <w:pPr>
        <w:pStyle w:val="Heading2"/>
      </w:pPr>
      <w:bookmarkStart w:id="15" w:name="_Toc61341270"/>
      <w:r w:rsidRPr="00390B8E">
        <w:t>Relevant considerations of the context of engagement</w:t>
      </w:r>
      <w:bookmarkEnd w:id="15"/>
    </w:p>
    <w:p w14:paraId="4B1F89AA" w14:textId="5FC81711" w:rsidR="00141F50" w:rsidRPr="00390B8E" w:rsidRDefault="00141F50" w:rsidP="008B44C5">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 xml:space="preserve">We support the </w:t>
      </w:r>
      <w:r w:rsidR="00FD5940" w:rsidRPr="00390B8E">
        <w:rPr>
          <w:rFonts w:asciiTheme="minorHAnsi" w:hAnsiTheme="minorHAnsi" w:cstheme="minorHAnsi"/>
          <w:color w:val="000000" w:themeColor="text1"/>
        </w:rPr>
        <w:t xml:space="preserve">AER’s provision that considerations beyond those listed in Table 7 are relevant. We support the evaluation of engagement in the context that the process was conducted. </w:t>
      </w:r>
    </w:p>
    <w:p w14:paraId="5C0E2860" w14:textId="4B3C47C0" w:rsidR="008B44C5" w:rsidRPr="00390B8E" w:rsidRDefault="00FD5940" w:rsidP="008B44C5">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This is particularly relevant where engagement is undertaken on</w:t>
      </w:r>
      <w:r w:rsidR="008B44C5" w:rsidRPr="00390B8E">
        <w:rPr>
          <w:rFonts w:asciiTheme="minorHAnsi" w:hAnsiTheme="minorHAnsi" w:cstheme="minorHAnsi"/>
          <w:color w:val="000000" w:themeColor="text1"/>
        </w:rPr>
        <w:t xml:space="preserve"> topics </w:t>
      </w:r>
      <w:r w:rsidRPr="00390B8E">
        <w:rPr>
          <w:rFonts w:asciiTheme="minorHAnsi" w:hAnsiTheme="minorHAnsi" w:cstheme="minorHAnsi"/>
          <w:color w:val="000000" w:themeColor="text1"/>
        </w:rPr>
        <w:t>that are unfamiliar</w:t>
      </w:r>
      <w:r w:rsidR="008B44C5" w:rsidRPr="00390B8E">
        <w:rPr>
          <w:rFonts w:asciiTheme="minorHAnsi" w:hAnsiTheme="minorHAnsi" w:cstheme="minorHAnsi"/>
          <w:color w:val="000000" w:themeColor="text1"/>
        </w:rPr>
        <w:t xml:space="preserve"> to the participants.</w:t>
      </w:r>
      <w:r w:rsidR="00141F50" w:rsidRPr="00390B8E">
        <w:rPr>
          <w:rFonts w:asciiTheme="minorHAnsi" w:hAnsiTheme="minorHAnsi" w:cstheme="minorHAnsi"/>
          <w:color w:val="000000" w:themeColor="text1"/>
        </w:rPr>
        <w:t xml:space="preserve"> </w:t>
      </w:r>
      <w:r w:rsidR="008B44C5" w:rsidRPr="00390B8E">
        <w:rPr>
          <w:rFonts w:asciiTheme="minorHAnsi" w:hAnsiTheme="minorHAnsi" w:cstheme="minorHAnsi"/>
          <w:color w:val="000000" w:themeColor="text1"/>
        </w:rPr>
        <w:t xml:space="preserve">While customers may choose to engage on areas that are new to them, </w:t>
      </w:r>
      <w:r w:rsidRPr="00390B8E">
        <w:rPr>
          <w:rFonts w:asciiTheme="minorHAnsi" w:hAnsiTheme="minorHAnsi" w:cstheme="minorHAnsi"/>
          <w:color w:val="000000" w:themeColor="text1"/>
        </w:rPr>
        <w:t>it’s valid to consider</w:t>
      </w:r>
      <w:r w:rsidR="008B44C5" w:rsidRPr="00390B8E">
        <w:rPr>
          <w:rFonts w:asciiTheme="minorHAnsi" w:hAnsiTheme="minorHAnsi" w:cstheme="minorHAnsi"/>
          <w:color w:val="000000" w:themeColor="text1"/>
        </w:rPr>
        <w:t xml:space="preserve"> the extent to which customers </w:t>
      </w:r>
      <w:r w:rsidRPr="00390B8E">
        <w:rPr>
          <w:rFonts w:asciiTheme="minorHAnsi" w:hAnsiTheme="minorHAnsi" w:cstheme="minorHAnsi"/>
          <w:color w:val="000000" w:themeColor="text1"/>
        </w:rPr>
        <w:t>are likely to</w:t>
      </w:r>
      <w:r w:rsidR="008B44C5" w:rsidRPr="00390B8E">
        <w:rPr>
          <w:rFonts w:asciiTheme="minorHAnsi" w:hAnsiTheme="minorHAnsi" w:cstheme="minorHAnsi"/>
          <w:color w:val="000000" w:themeColor="text1"/>
        </w:rPr>
        <w:t xml:space="preserve"> have properly understood the full relevant context of the decisions presented. Although the engagement may include education or backgrounding</w:t>
      </w:r>
      <w:r w:rsidRPr="00390B8E">
        <w:rPr>
          <w:rFonts w:asciiTheme="minorHAnsi" w:hAnsiTheme="minorHAnsi" w:cstheme="minorHAnsi"/>
          <w:color w:val="000000" w:themeColor="text1"/>
        </w:rPr>
        <w:t xml:space="preserve"> -</w:t>
      </w:r>
      <w:r w:rsidR="008B44C5" w:rsidRPr="00390B8E">
        <w:rPr>
          <w:rFonts w:asciiTheme="minorHAnsi" w:hAnsiTheme="minorHAnsi" w:cstheme="minorHAnsi"/>
          <w:color w:val="000000" w:themeColor="text1"/>
        </w:rPr>
        <w:t xml:space="preserve"> by the distributor or an independent </w:t>
      </w:r>
      <w:r w:rsidRPr="00390B8E">
        <w:rPr>
          <w:rFonts w:asciiTheme="minorHAnsi" w:hAnsiTheme="minorHAnsi" w:cstheme="minorHAnsi"/>
          <w:color w:val="000000" w:themeColor="text1"/>
        </w:rPr>
        <w:t>third party -</w:t>
      </w:r>
      <w:r w:rsidR="008B44C5" w:rsidRPr="00390B8E">
        <w:rPr>
          <w:rFonts w:asciiTheme="minorHAnsi" w:hAnsiTheme="minorHAnsi" w:cstheme="minorHAnsi"/>
          <w:color w:val="000000" w:themeColor="text1"/>
        </w:rPr>
        <w:t xml:space="preserve"> the further the topic of engagement is from participants’ knowledge and experience</w:t>
      </w:r>
      <w:r w:rsidR="001B733D" w:rsidRPr="00390B8E">
        <w:rPr>
          <w:rFonts w:asciiTheme="minorHAnsi" w:hAnsiTheme="minorHAnsi" w:cstheme="minorHAnsi"/>
          <w:color w:val="000000" w:themeColor="text1"/>
        </w:rPr>
        <w:t>,</w:t>
      </w:r>
      <w:r w:rsidR="008B44C5" w:rsidRPr="00390B8E">
        <w:rPr>
          <w:rFonts w:asciiTheme="minorHAnsi" w:hAnsiTheme="minorHAnsi" w:cstheme="minorHAnsi"/>
          <w:color w:val="000000" w:themeColor="text1"/>
        </w:rPr>
        <w:t xml:space="preserve"> the more susceptible the engagement will be to intentional or unintentional influence.</w:t>
      </w:r>
    </w:p>
    <w:p w14:paraId="7AA9B246" w14:textId="26289449" w:rsidR="008B44C5" w:rsidRPr="00390B8E" w:rsidRDefault="008B44C5" w:rsidP="008B44C5">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lastRenderedPageBreak/>
        <w:t>In some instances, customer engagement has been organised by distributors to challenge aspects of the Draft Decision by demonstrating customer support for their original claim.</w:t>
      </w:r>
    </w:p>
    <w:p w14:paraId="5B291DAA" w14:textId="74F671DC" w:rsidR="008B44C5" w:rsidRPr="00390B8E" w:rsidRDefault="008B44C5" w:rsidP="008B44C5">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 xml:space="preserve">We question whether customer engagement of this kind – that focuses on specific questions with </w:t>
      </w:r>
      <w:r w:rsidR="00FD5940" w:rsidRPr="00390B8E">
        <w:rPr>
          <w:rFonts w:asciiTheme="minorHAnsi" w:hAnsiTheme="minorHAnsi" w:cstheme="minorHAnsi"/>
          <w:color w:val="000000" w:themeColor="text1"/>
        </w:rPr>
        <w:t>direct</w:t>
      </w:r>
      <w:r w:rsidRPr="00390B8E">
        <w:rPr>
          <w:rFonts w:asciiTheme="minorHAnsi" w:hAnsiTheme="minorHAnsi" w:cstheme="minorHAnsi"/>
          <w:color w:val="000000" w:themeColor="text1"/>
        </w:rPr>
        <w:t xml:space="preserve"> significant revenue consequences -  are likely to be as free from influence – intended or otherwise – as general engagement on customer priorities. </w:t>
      </w:r>
    </w:p>
    <w:p w14:paraId="5363F4DF" w14:textId="1A18895D" w:rsidR="008B44C5" w:rsidRPr="00390B8E" w:rsidRDefault="008B44C5" w:rsidP="008B44C5">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 xml:space="preserve">Additionally, where engagement focuses on questions of efficiency – an area </w:t>
      </w:r>
      <w:proofErr w:type="gramStart"/>
      <w:r w:rsidRPr="00390B8E">
        <w:rPr>
          <w:rFonts w:asciiTheme="minorHAnsi" w:hAnsiTheme="minorHAnsi" w:cstheme="minorHAnsi"/>
          <w:color w:val="000000" w:themeColor="text1"/>
        </w:rPr>
        <w:t>where by</w:t>
      </w:r>
      <w:proofErr w:type="gramEnd"/>
      <w:r w:rsidRPr="00390B8E">
        <w:rPr>
          <w:rFonts w:asciiTheme="minorHAnsi" w:hAnsiTheme="minorHAnsi" w:cstheme="minorHAnsi"/>
          <w:color w:val="000000" w:themeColor="text1"/>
        </w:rPr>
        <w:t xml:space="preserve"> definition business and customer interests are directly opposed – we also question whether the outcome of engagement should be considered with equal weight as engagement on </w:t>
      </w:r>
      <w:r w:rsidR="00FD5940" w:rsidRPr="00390B8E">
        <w:rPr>
          <w:rFonts w:asciiTheme="minorHAnsi" w:hAnsiTheme="minorHAnsi" w:cstheme="minorHAnsi"/>
          <w:color w:val="000000" w:themeColor="text1"/>
        </w:rPr>
        <w:t xml:space="preserve">customers’ </w:t>
      </w:r>
      <w:r w:rsidRPr="00390B8E">
        <w:rPr>
          <w:rFonts w:asciiTheme="minorHAnsi" w:hAnsiTheme="minorHAnsi" w:cstheme="minorHAnsi"/>
          <w:color w:val="000000" w:themeColor="text1"/>
        </w:rPr>
        <w:t>preferences and priorities.</w:t>
      </w:r>
    </w:p>
    <w:p w14:paraId="24A4E19A" w14:textId="5754AE75" w:rsidR="009B620F" w:rsidRPr="00390B8E" w:rsidRDefault="009B620F" w:rsidP="00F4556F">
      <w:pPr>
        <w:pStyle w:val="Heading2"/>
      </w:pPr>
      <w:bookmarkStart w:id="16" w:name="_Toc61341271"/>
      <w:r w:rsidRPr="00390B8E">
        <w:t>Evaluation of New Reg outcomes</w:t>
      </w:r>
      <w:bookmarkEnd w:id="16"/>
    </w:p>
    <w:p w14:paraId="2ADA6967" w14:textId="4108A1AF" w:rsidR="008B44C5" w:rsidRPr="00390B8E" w:rsidRDefault="005C333F" w:rsidP="00F4556F">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 xml:space="preserve">We note that </w:t>
      </w:r>
      <w:r w:rsidR="00B46557" w:rsidRPr="00390B8E">
        <w:rPr>
          <w:rFonts w:asciiTheme="minorHAnsi" w:hAnsiTheme="minorHAnsi" w:cstheme="minorHAnsi"/>
          <w:color w:val="000000" w:themeColor="text1"/>
        </w:rPr>
        <w:t>AusNet</w:t>
      </w:r>
      <w:r w:rsidRPr="00390B8E">
        <w:rPr>
          <w:rFonts w:asciiTheme="minorHAnsi" w:hAnsiTheme="minorHAnsi" w:cstheme="minorHAnsi"/>
          <w:color w:val="000000" w:themeColor="text1"/>
        </w:rPr>
        <w:t xml:space="preserve"> Services cite the AER’s approval of their customer engagement process as a key reason for the AER’s general acceptance of their proposal.</w:t>
      </w:r>
      <w:r w:rsidRPr="00390B8E">
        <w:rPr>
          <w:rStyle w:val="FootnoteReference"/>
          <w:rFonts w:cstheme="minorHAnsi"/>
          <w:color w:val="000000" w:themeColor="text1"/>
        </w:rPr>
        <w:footnoteReference w:id="19"/>
      </w:r>
      <w:r w:rsidR="008C53C1" w:rsidRPr="00390B8E">
        <w:rPr>
          <w:rFonts w:asciiTheme="minorHAnsi" w:hAnsiTheme="minorHAnsi" w:cstheme="minorHAnsi"/>
          <w:color w:val="000000" w:themeColor="text1"/>
        </w:rPr>
        <w:t xml:space="preserve"> While there were positive aspects of </w:t>
      </w:r>
      <w:r w:rsidR="00B46557" w:rsidRPr="00390B8E">
        <w:rPr>
          <w:rFonts w:asciiTheme="minorHAnsi" w:hAnsiTheme="minorHAnsi" w:cstheme="minorHAnsi"/>
          <w:color w:val="000000" w:themeColor="text1"/>
        </w:rPr>
        <w:t>AusNet</w:t>
      </w:r>
      <w:r w:rsidR="008C53C1" w:rsidRPr="00390B8E">
        <w:rPr>
          <w:rFonts w:asciiTheme="minorHAnsi" w:hAnsiTheme="minorHAnsi" w:cstheme="minorHAnsi"/>
          <w:color w:val="000000" w:themeColor="text1"/>
        </w:rPr>
        <w:t xml:space="preserve"> Services’ New Reg customer engagement process, there were also comparative weaknesses. </w:t>
      </w:r>
    </w:p>
    <w:p w14:paraId="2A3FBAF8" w14:textId="1C6C6935" w:rsidR="009B620F" w:rsidRPr="00390B8E" w:rsidRDefault="0098076E" w:rsidP="00F4556F">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Each of the different approaches adopted by the distributors were associated with</w:t>
      </w:r>
      <w:r w:rsidR="009B620F" w:rsidRPr="00390B8E">
        <w:rPr>
          <w:rFonts w:asciiTheme="minorHAnsi" w:hAnsiTheme="minorHAnsi" w:cstheme="minorHAnsi"/>
          <w:color w:val="000000" w:themeColor="text1"/>
        </w:rPr>
        <w:t xml:space="preserve"> pros and cons </w:t>
      </w:r>
      <w:r w:rsidRPr="00390B8E">
        <w:rPr>
          <w:rFonts w:asciiTheme="minorHAnsi" w:hAnsiTheme="minorHAnsi" w:cstheme="minorHAnsi"/>
          <w:color w:val="000000" w:themeColor="text1"/>
        </w:rPr>
        <w:t xml:space="preserve">– sometimes </w:t>
      </w:r>
      <w:r w:rsidR="00B46557" w:rsidRPr="00390B8E">
        <w:rPr>
          <w:rFonts w:asciiTheme="minorHAnsi" w:hAnsiTheme="minorHAnsi" w:cstheme="minorHAnsi"/>
          <w:color w:val="000000" w:themeColor="text1"/>
        </w:rPr>
        <w:t>these</w:t>
      </w:r>
      <w:r w:rsidRPr="00390B8E">
        <w:rPr>
          <w:rFonts w:asciiTheme="minorHAnsi" w:hAnsiTheme="minorHAnsi" w:cstheme="minorHAnsi"/>
          <w:color w:val="000000" w:themeColor="text1"/>
        </w:rPr>
        <w:t xml:space="preserve"> reflect </w:t>
      </w:r>
      <w:r w:rsidR="00B46557" w:rsidRPr="00390B8E">
        <w:rPr>
          <w:rFonts w:asciiTheme="minorHAnsi" w:hAnsiTheme="minorHAnsi" w:cstheme="minorHAnsi"/>
          <w:color w:val="000000" w:themeColor="text1"/>
        </w:rPr>
        <w:t>inherent</w:t>
      </w:r>
      <w:r w:rsidRPr="00390B8E">
        <w:rPr>
          <w:rFonts w:asciiTheme="minorHAnsi" w:hAnsiTheme="minorHAnsi" w:cstheme="minorHAnsi"/>
          <w:color w:val="000000" w:themeColor="text1"/>
        </w:rPr>
        <w:t xml:space="preserve"> limitations on business-led engagement, due to barriers such as knowledge imbalance between the parties. </w:t>
      </w:r>
    </w:p>
    <w:p w14:paraId="223EE343" w14:textId="52316AC6" w:rsidR="008B44C5" w:rsidRPr="00390B8E" w:rsidRDefault="00903EFA" w:rsidP="00F4556F">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Examples of weaknesses in the</w:t>
      </w:r>
      <w:r w:rsidR="006620A6" w:rsidRPr="00390B8E">
        <w:rPr>
          <w:rFonts w:asciiTheme="minorHAnsi" w:hAnsiTheme="minorHAnsi" w:cstheme="minorHAnsi"/>
          <w:color w:val="000000" w:themeColor="text1"/>
        </w:rPr>
        <w:t xml:space="preserve"> </w:t>
      </w:r>
      <w:r w:rsidR="00B46557" w:rsidRPr="00390B8E">
        <w:rPr>
          <w:rFonts w:asciiTheme="minorHAnsi" w:hAnsiTheme="minorHAnsi" w:cstheme="minorHAnsi"/>
          <w:color w:val="000000" w:themeColor="text1"/>
        </w:rPr>
        <w:t>AusNet</w:t>
      </w:r>
      <w:r w:rsidR="006620A6" w:rsidRPr="00390B8E">
        <w:rPr>
          <w:rFonts w:asciiTheme="minorHAnsi" w:hAnsiTheme="minorHAnsi" w:cstheme="minorHAnsi"/>
          <w:color w:val="000000" w:themeColor="text1"/>
        </w:rPr>
        <w:t xml:space="preserve"> Services </w:t>
      </w:r>
      <w:r w:rsidR="0098076E" w:rsidRPr="00390B8E">
        <w:rPr>
          <w:rFonts w:asciiTheme="minorHAnsi" w:hAnsiTheme="minorHAnsi" w:cstheme="minorHAnsi"/>
          <w:color w:val="000000" w:themeColor="text1"/>
        </w:rPr>
        <w:t xml:space="preserve">New Reg process include </w:t>
      </w:r>
      <w:r w:rsidR="00547C6B" w:rsidRPr="00390B8E">
        <w:rPr>
          <w:rFonts w:asciiTheme="minorHAnsi" w:hAnsiTheme="minorHAnsi" w:cstheme="minorHAnsi"/>
          <w:color w:val="000000" w:themeColor="text1"/>
        </w:rPr>
        <w:t xml:space="preserve">a consultation process that did not effectively survey different sectors of their base - </w:t>
      </w:r>
      <w:r w:rsidR="006620A6" w:rsidRPr="00390B8E">
        <w:rPr>
          <w:rFonts w:asciiTheme="minorHAnsi" w:hAnsiTheme="minorHAnsi" w:cstheme="minorHAnsi"/>
          <w:color w:val="000000" w:themeColor="text1"/>
        </w:rPr>
        <w:t>large energy user</w:t>
      </w:r>
      <w:r w:rsidR="00547C6B" w:rsidRPr="00390B8E">
        <w:rPr>
          <w:rFonts w:asciiTheme="minorHAnsi" w:hAnsiTheme="minorHAnsi" w:cstheme="minorHAnsi"/>
          <w:color w:val="000000" w:themeColor="text1"/>
        </w:rPr>
        <w:t xml:space="preserve"> representatives </w:t>
      </w:r>
      <w:r w:rsidR="006620A6" w:rsidRPr="00390B8E">
        <w:rPr>
          <w:rFonts w:asciiTheme="minorHAnsi" w:hAnsiTheme="minorHAnsi" w:cstheme="minorHAnsi"/>
          <w:color w:val="000000" w:themeColor="text1"/>
        </w:rPr>
        <w:t>have reported a lack of engagement</w:t>
      </w:r>
      <w:r w:rsidR="00547C6B" w:rsidRPr="00390B8E">
        <w:rPr>
          <w:rFonts w:asciiTheme="minorHAnsi" w:hAnsiTheme="minorHAnsi" w:cstheme="minorHAnsi"/>
          <w:color w:val="000000" w:themeColor="text1"/>
        </w:rPr>
        <w:t xml:space="preserve"> through the process</w:t>
      </w:r>
      <w:r w:rsidR="006620A6" w:rsidRPr="00390B8E">
        <w:rPr>
          <w:rStyle w:val="FootnoteReference"/>
          <w:rFonts w:cstheme="minorHAnsi"/>
          <w:color w:val="000000" w:themeColor="text1"/>
        </w:rPr>
        <w:footnoteReference w:id="20"/>
      </w:r>
      <w:r w:rsidR="008B44C5" w:rsidRPr="00390B8E">
        <w:rPr>
          <w:rFonts w:asciiTheme="minorHAnsi" w:hAnsiTheme="minorHAnsi" w:cstheme="minorHAnsi"/>
          <w:color w:val="000000" w:themeColor="text1"/>
        </w:rPr>
        <w:t xml:space="preserve">, and there was no specific engagement with </w:t>
      </w:r>
      <w:r w:rsidR="00547C6B" w:rsidRPr="00390B8E">
        <w:rPr>
          <w:rFonts w:asciiTheme="minorHAnsi" w:hAnsiTheme="minorHAnsi" w:cstheme="minorHAnsi"/>
          <w:color w:val="000000" w:themeColor="text1"/>
        </w:rPr>
        <w:t>vulnerable consumers.</w:t>
      </w:r>
      <w:r w:rsidR="008C53C1" w:rsidRPr="00390B8E">
        <w:rPr>
          <w:rFonts w:asciiTheme="minorHAnsi" w:hAnsiTheme="minorHAnsi" w:cstheme="minorHAnsi"/>
          <w:color w:val="000000" w:themeColor="text1"/>
        </w:rPr>
        <w:t xml:space="preserve"> </w:t>
      </w:r>
    </w:p>
    <w:p w14:paraId="4FA79AA3" w14:textId="24A9750D" w:rsidR="00547C6B" w:rsidRPr="00390B8E" w:rsidRDefault="008B44C5" w:rsidP="00F4556F">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 xml:space="preserve">The </w:t>
      </w:r>
      <w:r w:rsidR="00547C6B" w:rsidRPr="00390B8E">
        <w:rPr>
          <w:rFonts w:asciiTheme="minorHAnsi" w:hAnsiTheme="minorHAnsi" w:cstheme="minorHAnsi"/>
          <w:color w:val="000000" w:themeColor="text1"/>
        </w:rPr>
        <w:t>Customer Forum’s customer engagement</w:t>
      </w:r>
      <w:r w:rsidR="00025E0D" w:rsidRPr="00390B8E">
        <w:rPr>
          <w:rFonts w:asciiTheme="minorHAnsi" w:hAnsiTheme="minorHAnsi" w:cstheme="minorHAnsi"/>
          <w:color w:val="000000" w:themeColor="text1"/>
        </w:rPr>
        <w:t xml:space="preserve"> process </w:t>
      </w:r>
      <w:r w:rsidR="00547C6B" w:rsidRPr="00390B8E">
        <w:rPr>
          <w:rFonts w:asciiTheme="minorHAnsi" w:hAnsiTheme="minorHAnsi" w:cstheme="minorHAnsi"/>
          <w:color w:val="000000" w:themeColor="text1"/>
        </w:rPr>
        <w:t>has been criticised as</w:t>
      </w:r>
      <w:r w:rsidR="00025E0D" w:rsidRPr="00390B8E">
        <w:rPr>
          <w:rFonts w:asciiTheme="minorHAnsi" w:hAnsiTheme="minorHAnsi" w:cstheme="minorHAnsi"/>
          <w:color w:val="000000" w:themeColor="text1"/>
        </w:rPr>
        <w:t xml:space="preserve"> ad-hoc </w:t>
      </w:r>
      <w:r w:rsidR="00547C6B" w:rsidRPr="00390B8E">
        <w:rPr>
          <w:rFonts w:asciiTheme="minorHAnsi" w:hAnsiTheme="minorHAnsi" w:cstheme="minorHAnsi"/>
          <w:color w:val="000000" w:themeColor="text1"/>
        </w:rPr>
        <w:t>and reactive</w:t>
      </w:r>
      <w:r w:rsidR="00025E0D" w:rsidRPr="00390B8E">
        <w:rPr>
          <w:rFonts w:asciiTheme="minorHAnsi" w:hAnsiTheme="minorHAnsi" w:cstheme="minorHAnsi"/>
          <w:color w:val="000000" w:themeColor="text1"/>
        </w:rPr>
        <w:t xml:space="preserve"> – </w:t>
      </w:r>
      <w:r w:rsidR="00547C6B" w:rsidRPr="00390B8E">
        <w:rPr>
          <w:rFonts w:asciiTheme="minorHAnsi" w:hAnsiTheme="minorHAnsi" w:cstheme="minorHAnsi"/>
          <w:color w:val="000000" w:themeColor="text1"/>
        </w:rPr>
        <w:t>for example,</w:t>
      </w:r>
      <w:r w:rsidR="00025E0D" w:rsidRPr="00390B8E">
        <w:rPr>
          <w:rFonts w:asciiTheme="minorHAnsi" w:hAnsiTheme="minorHAnsi" w:cstheme="minorHAnsi"/>
          <w:color w:val="000000" w:themeColor="text1"/>
        </w:rPr>
        <w:t xml:space="preserve"> </w:t>
      </w:r>
      <w:r w:rsidR="00547C6B" w:rsidRPr="00390B8E">
        <w:rPr>
          <w:rFonts w:asciiTheme="minorHAnsi" w:hAnsiTheme="minorHAnsi" w:cstheme="minorHAnsi"/>
          <w:color w:val="000000" w:themeColor="text1"/>
        </w:rPr>
        <w:t>surveying beneficiaries regarding proposed</w:t>
      </w:r>
      <w:r w:rsidR="00025E0D" w:rsidRPr="00390B8E">
        <w:rPr>
          <w:rFonts w:asciiTheme="minorHAnsi" w:hAnsiTheme="minorHAnsi" w:cstheme="minorHAnsi"/>
          <w:color w:val="000000" w:themeColor="text1"/>
        </w:rPr>
        <w:t xml:space="preserve"> </w:t>
      </w:r>
      <w:proofErr w:type="spellStart"/>
      <w:r w:rsidR="00025E0D" w:rsidRPr="00390B8E">
        <w:rPr>
          <w:rFonts w:asciiTheme="minorHAnsi" w:hAnsiTheme="minorHAnsi" w:cstheme="minorHAnsi"/>
          <w:color w:val="000000" w:themeColor="text1"/>
        </w:rPr>
        <w:t>augex</w:t>
      </w:r>
      <w:proofErr w:type="spellEnd"/>
      <w:r w:rsidR="00025E0D" w:rsidRPr="00390B8E">
        <w:rPr>
          <w:rFonts w:asciiTheme="minorHAnsi" w:hAnsiTheme="minorHAnsi" w:cstheme="minorHAnsi"/>
          <w:color w:val="000000" w:themeColor="text1"/>
        </w:rPr>
        <w:t xml:space="preserve"> projects </w:t>
      </w:r>
      <w:r w:rsidR="00547C6B" w:rsidRPr="00390B8E">
        <w:rPr>
          <w:rFonts w:asciiTheme="minorHAnsi" w:hAnsiTheme="minorHAnsi" w:cstheme="minorHAnsi"/>
          <w:color w:val="000000" w:themeColor="text1"/>
        </w:rPr>
        <w:t>rather than the wider customer base</w:t>
      </w:r>
      <w:r w:rsidR="00025E0D" w:rsidRPr="00390B8E">
        <w:rPr>
          <w:rFonts w:asciiTheme="minorHAnsi" w:hAnsiTheme="minorHAnsi" w:cstheme="minorHAnsi"/>
          <w:color w:val="000000" w:themeColor="text1"/>
        </w:rPr>
        <w:t xml:space="preserve">. </w:t>
      </w:r>
    </w:p>
    <w:p w14:paraId="3B2CA2F1" w14:textId="34D1AF07" w:rsidR="008C53C1" w:rsidRPr="00390B8E" w:rsidRDefault="008C53C1" w:rsidP="00F4556F">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 xml:space="preserve">We do not agree that </w:t>
      </w:r>
      <w:r w:rsidR="00B46557" w:rsidRPr="00390B8E">
        <w:rPr>
          <w:rFonts w:asciiTheme="minorHAnsi" w:hAnsiTheme="minorHAnsi" w:cstheme="minorHAnsi"/>
          <w:color w:val="000000" w:themeColor="text1"/>
        </w:rPr>
        <w:t>AusNet</w:t>
      </w:r>
      <w:r w:rsidRPr="00390B8E">
        <w:rPr>
          <w:rFonts w:asciiTheme="minorHAnsi" w:hAnsiTheme="minorHAnsi" w:cstheme="minorHAnsi"/>
          <w:color w:val="000000" w:themeColor="text1"/>
        </w:rPr>
        <w:t xml:space="preserve"> Services’ New Reg engagement process </w:t>
      </w:r>
      <w:r w:rsidR="008B44C5" w:rsidRPr="00390B8E">
        <w:rPr>
          <w:rFonts w:asciiTheme="minorHAnsi" w:hAnsiTheme="minorHAnsi" w:cstheme="minorHAnsi"/>
          <w:color w:val="000000" w:themeColor="text1"/>
        </w:rPr>
        <w:t>should have contributed to any decision to apply a less detailed</w:t>
      </w:r>
      <w:r w:rsidRPr="00390B8E">
        <w:rPr>
          <w:rFonts w:asciiTheme="minorHAnsi" w:hAnsiTheme="minorHAnsi" w:cstheme="minorHAnsi"/>
          <w:color w:val="000000" w:themeColor="text1"/>
        </w:rPr>
        <w:t xml:space="preserve"> assessment from the AER</w:t>
      </w:r>
      <w:r w:rsidR="00025E0D" w:rsidRPr="00390B8E">
        <w:rPr>
          <w:rFonts w:asciiTheme="minorHAnsi" w:hAnsiTheme="minorHAnsi" w:cstheme="minorHAnsi"/>
          <w:color w:val="000000" w:themeColor="text1"/>
        </w:rPr>
        <w:t xml:space="preserve"> </w:t>
      </w:r>
      <w:r w:rsidR="008B44C5" w:rsidRPr="00390B8E">
        <w:rPr>
          <w:rFonts w:asciiTheme="minorHAnsi" w:hAnsiTheme="minorHAnsi" w:cstheme="minorHAnsi"/>
          <w:color w:val="000000" w:themeColor="text1"/>
        </w:rPr>
        <w:t>than otherwise</w:t>
      </w:r>
      <w:r w:rsidR="00025E0D" w:rsidRPr="00390B8E">
        <w:rPr>
          <w:rFonts w:asciiTheme="minorHAnsi" w:hAnsiTheme="minorHAnsi" w:cstheme="minorHAnsi"/>
          <w:color w:val="000000" w:themeColor="text1"/>
        </w:rPr>
        <w:t>.</w:t>
      </w:r>
    </w:p>
    <w:p w14:paraId="11CA0392" w14:textId="632C41E6" w:rsidR="00DA24E4" w:rsidRPr="00390B8E" w:rsidRDefault="001B733D" w:rsidP="000B14D6">
      <w:pPr>
        <w:pStyle w:val="BodytextRPCbeforebullets"/>
        <w:rPr>
          <w:rFonts w:asciiTheme="minorHAnsi" w:hAnsiTheme="minorHAnsi" w:cstheme="minorHAnsi"/>
          <w:color w:val="000000" w:themeColor="text1"/>
        </w:rPr>
      </w:pPr>
      <w:r w:rsidRPr="00390B8E">
        <w:rPr>
          <w:noProof/>
          <w:color w:val="000000" w:themeColor="text1"/>
        </w:rPr>
        <w:lastRenderedPageBreak/>
        <mc:AlternateContent>
          <mc:Choice Requires="wps">
            <w:drawing>
              <wp:anchor distT="0" distB="0" distL="114300" distR="114300" simplePos="0" relativeHeight="251664397" behindDoc="0" locked="0" layoutInCell="1" allowOverlap="1" wp14:anchorId="18F662F8" wp14:editId="0D48C886">
                <wp:simplePos x="0" y="0"/>
                <wp:positionH relativeFrom="column">
                  <wp:posOffset>-52705</wp:posOffset>
                </wp:positionH>
                <wp:positionV relativeFrom="paragraph">
                  <wp:posOffset>195901</wp:posOffset>
                </wp:positionV>
                <wp:extent cx="4968240" cy="1828800"/>
                <wp:effectExtent l="0" t="0" r="10160" b="17780"/>
                <wp:wrapSquare wrapText="bothSides"/>
                <wp:docPr id="9" name="Text Box 9"/>
                <wp:cNvGraphicFramePr/>
                <a:graphic xmlns:a="http://schemas.openxmlformats.org/drawingml/2006/main">
                  <a:graphicData uri="http://schemas.microsoft.com/office/word/2010/wordprocessingShape">
                    <wps:wsp>
                      <wps:cNvSpPr txBox="1"/>
                      <wps:spPr>
                        <a:xfrm>
                          <a:off x="0" y="0"/>
                          <a:ext cx="4968240" cy="1828800"/>
                        </a:xfrm>
                        <a:prstGeom prst="rect">
                          <a:avLst/>
                        </a:prstGeom>
                        <a:noFill/>
                        <a:ln w="6350">
                          <a:solidFill>
                            <a:prstClr val="black"/>
                          </a:solidFill>
                        </a:ln>
                      </wps:spPr>
                      <wps:txbx>
                        <w:txbxContent>
                          <w:p w14:paraId="538FB396" w14:textId="77777777" w:rsidR="000655E0" w:rsidRPr="000E2AE6" w:rsidRDefault="000655E0" w:rsidP="002824AA">
                            <w:pPr>
                              <w:pStyle w:val="BodytextRPCbeforebullets"/>
                              <w:shd w:val="clear" w:color="auto" w:fill="000000" w:themeFill="text1"/>
                              <w:rPr>
                                <w:rFonts w:asciiTheme="minorHAnsi" w:hAnsiTheme="minorHAnsi" w:cstheme="minorHAnsi"/>
                              </w:rPr>
                            </w:pPr>
                            <w:r w:rsidRPr="000E2AE6">
                              <w:rPr>
                                <w:rFonts w:asciiTheme="minorHAnsi" w:hAnsiTheme="minorHAnsi" w:cstheme="minorHAnsi"/>
                              </w:rPr>
                              <w:t>Key points:</w:t>
                            </w:r>
                          </w:p>
                          <w:p w14:paraId="4AE96EF6" w14:textId="7FF15906" w:rsidR="000655E0" w:rsidRDefault="000655E0" w:rsidP="000F32EE">
                            <w:pPr>
                              <w:pStyle w:val="BodytextRPCbeforebullets"/>
                              <w:numPr>
                                <w:ilvl w:val="0"/>
                                <w:numId w:val="16"/>
                              </w:numPr>
                              <w:rPr>
                                <w:rFonts w:cstheme="minorHAnsi"/>
                              </w:rPr>
                            </w:pPr>
                            <w:r>
                              <w:rPr>
                                <w:rFonts w:cstheme="minorHAnsi"/>
                              </w:rPr>
                              <w:t>The AER acknowledge stakeholder input that community engagement is an important part of the distributors’ planning process that should inform rather than determine revenue allocation.</w:t>
                            </w:r>
                          </w:p>
                          <w:p w14:paraId="400E286D" w14:textId="52D25FDE" w:rsidR="000655E0" w:rsidRDefault="000655E0" w:rsidP="000F32EE">
                            <w:pPr>
                              <w:pStyle w:val="BodytextRPCbeforebullets"/>
                              <w:numPr>
                                <w:ilvl w:val="0"/>
                                <w:numId w:val="16"/>
                              </w:numPr>
                              <w:rPr>
                                <w:rFonts w:cstheme="minorHAnsi"/>
                              </w:rPr>
                            </w:pPr>
                            <w:r>
                              <w:rPr>
                                <w:rFonts w:cstheme="minorHAnsi"/>
                              </w:rPr>
                              <w:t xml:space="preserve">The AER framework for evaluating engagement is reasonable. It omits some important factors that are included in most industry guidance, such as understanding priorities of customer sectors. </w:t>
                            </w:r>
                          </w:p>
                          <w:p w14:paraId="6C132AC0" w14:textId="56C04CC3" w:rsidR="000655E0" w:rsidRDefault="000655E0" w:rsidP="000F32EE">
                            <w:pPr>
                              <w:pStyle w:val="BodytextRPCbeforebullets"/>
                              <w:numPr>
                                <w:ilvl w:val="0"/>
                                <w:numId w:val="16"/>
                              </w:numPr>
                              <w:rPr>
                                <w:rFonts w:cstheme="minorHAnsi"/>
                              </w:rPr>
                            </w:pPr>
                            <w:r>
                              <w:rPr>
                                <w:rFonts w:cstheme="minorHAnsi"/>
                              </w:rPr>
                              <w:t>The New Reg process – like the process undertaken by all distributors – was associated with relative strengths and weaknesses. We do not agree that it warrants a less-detailed scrutiny of the distributors’ offering.</w:t>
                            </w:r>
                          </w:p>
                          <w:p w14:paraId="001AE786" w14:textId="6B0486A4" w:rsidR="000655E0" w:rsidRPr="003471B9" w:rsidRDefault="000655E0" w:rsidP="000F32EE">
                            <w:pPr>
                              <w:pStyle w:val="BodytextRPCbeforebullets"/>
                              <w:numPr>
                                <w:ilvl w:val="0"/>
                                <w:numId w:val="16"/>
                              </w:numPr>
                              <w:rPr>
                                <w:rFonts w:cstheme="minorHAnsi"/>
                              </w:rPr>
                            </w:pPr>
                            <w:r>
                              <w:rPr>
                                <w:rFonts w:cstheme="minorHAnsi"/>
                              </w:rPr>
                              <w:t>It is appropriate for the AER to also consider aspects of engagement context that are not articulated in the guidelines – such as the prior familiarity of customers with topics of engagement, the extent to which business and customer interests are opposed, and the amount of revenue directly at stake.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8F662F8" id="Text Box 9" o:spid="_x0000_s1030" type="#_x0000_t202" style="position:absolute;margin-left:-4.15pt;margin-top:15.45pt;width:391.2pt;height:2in;z-index:25166439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" filled="f" strokeweight=".5pt">
                <v:textbox style="mso-fit-shape-to-text:t">
                  <w:txbxContent>
                    <w:p w14:paraId="538FB396" w14:textId="77777777" w:rsidR="000655E0" w:rsidRPr="000E2AE6" w:rsidRDefault="000655E0" w:rsidP="002824AA">
                      <w:pPr>
                        <w:pStyle w:val="BodytextRPCbeforebullets"/>
                        <w:shd w:val="clear" w:color="auto" w:fill="000000" w:themeFill="text1"/>
                        <w:rPr>
                          <w:rFonts w:asciiTheme="minorHAnsi" w:hAnsiTheme="minorHAnsi" w:cstheme="minorHAnsi"/>
                        </w:rPr>
                      </w:pPr>
                      <w:r w:rsidRPr="000E2AE6">
                        <w:rPr>
                          <w:rFonts w:asciiTheme="minorHAnsi" w:hAnsiTheme="minorHAnsi" w:cstheme="minorHAnsi"/>
                        </w:rPr>
                        <w:t>Key points:</w:t>
                      </w:r>
                    </w:p>
                    <w:p w14:paraId="4AE96EF6" w14:textId="7FF15906" w:rsidR="000655E0" w:rsidRDefault="000655E0" w:rsidP="000F32EE">
                      <w:pPr>
                        <w:pStyle w:val="BodytextRPCbeforebullets"/>
                        <w:numPr>
                          <w:ilvl w:val="0"/>
                          <w:numId w:val="16"/>
                        </w:numPr>
                        <w:rPr>
                          <w:rFonts w:cstheme="minorHAnsi"/>
                        </w:rPr>
                      </w:pPr>
                      <w:r>
                        <w:rPr>
                          <w:rFonts w:cstheme="minorHAnsi"/>
                        </w:rPr>
                        <w:t>The AER acknowledge stakeholder input that community engagement is an important part of the distributors’ planning process that should inform rather than determine revenue allocation.</w:t>
                      </w:r>
                    </w:p>
                    <w:p w14:paraId="400E286D" w14:textId="52D25FDE" w:rsidR="000655E0" w:rsidRDefault="000655E0" w:rsidP="000F32EE">
                      <w:pPr>
                        <w:pStyle w:val="BodytextRPCbeforebullets"/>
                        <w:numPr>
                          <w:ilvl w:val="0"/>
                          <w:numId w:val="16"/>
                        </w:numPr>
                        <w:rPr>
                          <w:rFonts w:cstheme="minorHAnsi"/>
                        </w:rPr>
                      </w:pPr>
                      <w:r>
                        <w:rPr>
                          <w:rFonts w:cstheme="minorHAnsi"/>
                        </w:rPr>
                        <w:t xml:space="preserve">The AER framework for evaluating engagement is reasonable. It omits some important factors that are included in most industry guidance, such as understanding priorities of customer sectors. </w:t>
                      </w:r>
                    </w:p>
                    <w:p w14:paraId="6C132AC0" w14:textId="56C04CC3" w:rsidR="000655E0" w:rsidRDefault="000655E0" w:rsidP="000F32EE">
                      <w:pPr>
                        <w:pStyle w:val="BodytextRPCbeforebullets"/>
                        <w:numPr>
                          <w:ilvl w:val="0"/>
                          <w:numId w:val="16"/>
                        </w:numPr>
                        <w:rPr>
                          <w:rFonts w:cstheme="minorHAnsi"/>
                        </w:rPr>
                      </w:pPr>
                      <w:r>
                        <w:rPr>
                          <w:rFonts w:cstheme="minorHAnsi"/>
                        </w:rPr>
                        <w:t>The New Reg process – like the process undertaken by all distributors – was associated with relative strengths and weaknesses. We do not agree that it warrants a less-detailed scrutiny of the distributors’ offering.</w:t>
                      </w:r>
                    </w:p>
                    <w:p w14:paraId="001AE786" w14:textId="6B0486A4" w:rsidR="000655E0" w:rsidRPr="003471B9" w:rsidRDefault="000655E0" w:rsidP="000F32EE">
                      <w:pPr>
                        <w:pStyle w:val="BodytextRPCbeforebullets"/>
                        <w:numPr>
                          <w:ilvl w:val="0"/>
                          <w:numId w:val="16"/>
                        </w:numPr>
                        <w:rPr>
                          <w:rFonts w:cstheme="minorHAnsi"/>
                        </w:rPr>
                      </w:pPr>
                      <w:r>
                        <w:rPr>
                          <w:rFonts w:cstheme="minorHAnsi"/>
                        </w:rPr>
                        <w:t>It is appropriate for the AER to also consider aspects of engagement context that are not articulated in the guidelines – such as the prior familiarity of customers with topics of engagement, the extent to which business and customer interests are opposed, and the amount of revenue directly at stake.</w:t>
                      </w:r>
                    </w:p>
                  </w:txbxContent>
                </v:textbox>
                <w10:wrap type="square"/>
              </v:shape>
            </w:pict>
          </mc:Fallback>
        </mc:AlternateContent>
      </w:r>
    </w:p>
    <w:p w14:paraId="0B15BD62" w14:textId="2E49E03D" w:rsidR="00DD05AF" w:rsidRPr="00390B8E" w:rsidRDefault="00DD05AF" w:rsidP="00F4556F">
      <w:pPr>
        <w:pStyle w:val="BodytextRPCbeforebullets"/>
        <w:rPr>
          <w:rFonts w:asciiTheme="minorHAnsi" w:hAnsiTheme="minorHAnsi" w:cstheme="minorHAnsi"/>
          <w:color w:val="000000" w:themeColor="text1"/>
        </w:rPr>
      </w:pPr>
    </w:p>
    <w:p w14:paraId="06EA255F" w14:textId="024B55B2" w:rsidR="003072BF" w:rsidRPr="00390B8E" w:rsidRDefault="00FD5940" w:rsidP="00D81AC7">
      <w:pPr>
        <w:pStyle w:val="Heading1"/>
        <w:numPr>
          <w:ilvl w:val="0"/>
          <w:numId w:val="11"/>
        </w:numPr>
        <w:rPr>
          <w:rFonts w:asciiTheme="minorHAnsi" w:hAnsiTheme="minorHAnsi" w:cstheme="minorHAnsi"/>
        </w:rPr>
      </w:pPr>
      <w:bookmarkStart w:id="17" w:name="_Toc61341272"/>
      <w:r w:rsidRPr="00390B8E">
        <w:rPr>
          <w:rFonts w:asciiTheme="minorHAnsi" w:hAnsiTheme="minorHAnsi" w:cstheme="minorHAnsi"/>
        </w:rPr>
        <w:t>Opex</w:t>
      </w:r>
      <w:bookmarkEnd w:id="17"/>
    </w:p>
    <w:p w14:paraId="5421A479" w14:textId="7FA62338" w:rsidR="00BA1634" w:rsidRPr="00390B8E" w:rsidRDefault="00BA1634" w:rsidP="00BA1634">
      <w:pPr>
        <w:pStyle w:val="Heading2"/>
      </w:pPr>
      <w:bookmarkStart w:id="18" w:name="_Toc61341273"/>
      <w:r w:rsidRPr="00390B8E">
        <w:t>Opex overview</w:t>
      </w:r>
      <w:bookmarkEnd w:id="18"/>
    </w:p>
    <w:p w14:paraId="365E20EB" w14:textId="17EF5C8E" w:rsidR="00BA1634" w:rsidRPr="00390B8E" w:rsidRDefault="00BA1634" w:rsidP="00B41CE7">
      <w:pPr>
        <w:pStyle w:val="BodytextRPC"/>
        <w:rPr>
          <w:color w:val="000000" w:themeColor="text1"/>
        </w:rPr>
      </w:pPr>
      <w:r w:rsidRPr="00390B8E">
        <w:rPr>
          <w:color w:val="000000" w:themeColor="text1"/>
        </w:rPr>
        <w:t xml:space="preserve">The </w:t>
      </w:r>
      <w:r w:rsidR="008176A0" w:rsidRPr="00390B8E">
        <w:rPr>
          <w:color w:val="000000" w:themeColor="text1"/>
        </w:rPr>
        <w:t>AER’s draft decision</w:t>
      </w:r>
      <w:r w:rsidRPr="00390B8E">
        <w:rPr>
          <w:color w:val="000000" w:themeColor="text1"/>
        </w:rPr>
        <w:t xml:space="preserve"> adjusted </w:t>
      </w:r>
      <w:r w:rsidR="00B46557" w:rsidRPr="00390B8E">
        <w:rPr>
          <w:color w:val="000000" w:themeColor="text1"/>
        </w:rPr>
        <w:t>AusNet</w:t>
      </w:r>
      <w:r w:rsidR="008176A0" w:rsidRPr="00390B8E">
        <w:rPr>
          <w:color w:val="000000" w:themeColor="text1"/>
        </w:rPr>
        <w:t xml:space="preserve"> Services</w:t>
      </w:r>
      <w:r w:rsidRPr="00390B8E">
        <w:rPr>
          <w:color w:val="000000" w:themeColor="text1"/>
        </w:rPr>
        <w:t xml:space="preserve"> proposed opex by 3.7%, largely to accommodate COVID-19 impacts. Jemena’s was reduced by 13.3%, </w:t>
      </w:r>
      <w:r w:rsidR="00006687" w:rsidRPr="00390B8E">
        <w:rPr>
          <w:color w:val="000000" w:themeColor="text1"/>
        </w:rPr>
        <w:t xml:space="preserve">United Energy and Powercor by about 12%, and </w:t>
      </w:r>
      <w:r w:rsidR="00B46557" w:rsidRPr="00390B8E">
        <w:rPr>
          <w:color w:val="000000" w:themeColor="text1"/>
        </w:rPr>
        <w:t>CitiPower</w:t>
      </w:r>
      <w:r w:rsidR="00006687" w:rsidRPr="00390B8E">
        <w:rPr>
          <w:color w:val="000000" w:themeColor="text1"/>
        </w:rPr>
        <w:t xml:space="preserve"> by 17%.</w:t>
      </w:r>
    </w:p>
    <w:p w14:paraId="6B104359" w14:textId="25665C2D" w:rsidR="008176A0" w:rsidRPr="00390B8E" w:rsidRDefault="00B46557" w:rsidP="00B41CE7">
      <w:pPr>
        <w:pStyle w:val="BodytextRPC"/>
        <w:rPr>
          <w:color w:val="000000" w:themeColor="text1"/>
        </w:rPr>
      </w:pPr>
      <w:r w:rsidRPr="00390B8E">
        <w:rPr>
          <w:color w:val="000000" w:themeColor="text1"/>
        </w:rPr>
        <w:t>AusNet</w:t>
      </w:r>
      <w:r w:rsidR="00CC5C73" w:rsidRPr="00390B8E">
        <w:rPr>
          <w:color w:val="000000" w:themeColor="text1"/>
        </w:rPr>
        <w:t xml:space="preserve"> Services has returned revised </w:t>
      </w:r>
      <w:r w:rsidR="00F34023" w:rsidRPr="00390B8E">
        <w:rPr>
          <w:color w:val="000000" w:themeColor="text1"/>
        </w:rPr>
        <w:t>opex</w:t>
      </w:r>
      <w:r w:rsidR="00CC5C73" w:rsidRPr="00390B8E">
        <w:rPr>
          <w:color w:val="000000" w:themeColor="text1"/>
        </w:rPr>
        <w:t xml:space="preserve"> 1.4% higher than the </w:t>
      </w:r>
      <w:r w:rsidR="00F34023" w:rsidRPr="00390B8E">
        <w:rPr>
          <w:color w:val="000000" w:themeColor="text1"/>
        </w:rPr>
        <w:t>D</w:t>
      </w:r>
      <w:r w:rsidR="00CC5C73" w:rsidRPr="00390B8E">
        <w:rPr>
          <w:color w:val="000000" w:themeColor="text1"/>
        </w:rPr>
        <w:t>raft Decision</w:t>
      </w:r>
      <w:r w:rsidR="00BF4B45" w:rsidRPr="00390B8E">
        <w:rPr>
          <w:color w:val="000000" w:themeColor="text1"/>
        </w:rPr>
        <w:t>, challenging decisions on step changes and trend, and introducing new step change proposals.</w:t>
      </w:r>
      <w:r w:rsidR="00CD06B9" w:rsidRPr="00390B8E">
        <w:rPr>
          <w:color w:val="000000" w:themeColor="text1"/>
        </w:rPr>
        <w:t xml:space="preserve"> </w:t>
      </w:r>
      <w:r w:rsidR="007E2213" w:rsidRPr="00390B8E">
        <w:rPr>
          <w:color w:val="000000" w:themeColor="text1"/>
        </w:rPr>
        <w:t xml:space="preserve"> </w:t>
      </w:r>
      <w:r w:rsidR="0064309D" w:rsidRPr="00390B8E">
        <w:rPr>
          <w:color w:val="000000" w:themeColor="text1"/>
        </w:rPr>
        <w:t>The CPPALUE networks have challenged step change</w:t>
      </w:r>
      <w:r w:rsidR="00EA58AC" w:rsidRPr="00390B8E">
        <w:rPr>
          <w:color w:val="000000" w:themeColor="text1"/>
        </w:rPr>
        <w:t xml:space="preserve"> decisions</w:t>
      </w:r>
      <w:r w:rsidR="007E2213" w:rsidRPr="00390B8E">
        <w:rPr>
          <w:color w:val="000000" w:themeColor="text1"/>
        </w:rPr>
        <w:t xml:space="preserve">. </w:t>
      </w:r>
      <w:r w:rsidR="0064309D" w:rsidRPr="00390B8E">
        <w:rPr>
          <w:color w:val="000000" w:themeColor="text1"/>
        </w:rPr>
        <w:t xml:space="preserve">Jemena has challenged the </w:t>
      </w:r>
      <w:r w:rsidR="00003F14" w:rsidRPr="00390B8E">
        <w:rPr>
          <w:color w:val="000000" w:themeColor="text1"/>
        </w:rPr>
        <w:t xml:space="preserve">application of the base year efficiency adjustment, as well as aspects </w:t>
      </w:r>
      <w:r w:rsidR="00FA7274" w:rsidRPr="00390B8E">
        <w:rPr>
          <w:color w:val="000000" w:themeColor="text1"/>
        </w:rPr>
        <w:t>of the trend inputs.</w:t>
      </w:r>
    </w:p>
    <w:p w14:paraId="0F5ACFF5" w14:textId="414B04FB" w:rsidR="0078579D" w:rsidRPr="00390B8E" w:rsidRDefault="000F0D56" w:rsidP="0078579D">
      <w:pPr>
        <w:pStyle w:val="Heading2"/>
      </w:pPr>
      <w:bookmarkStart w:id="19" w:name="_Toc61341274"/>
      <w:r w:rsidRPr="00390B8E">
        <w:t>Opex trend</w:t>
      </w:r>
      <w:r w:rsidR="00FC27F9" w:rsidRPr="00390B8E">
        <w:t xml:space="preserve"> analysis</w:t>
      </w:r>
      <w:bookmarkEnd w:id="19"/>
    </w:p>
    <w:p w14:paraId="68C31F33" w14:textId="1F234BEF" w:rsidR="00FF48EC" w:rsidRPr="00390B8E" w:rsidRDefault="006C7AE3" w:rsidP="00B41CE7">
      <w:pPr>
        <w:pStyle w:val="BodytextRPC"/>
        <w:rPr>
          <w:color w:val="000000" w:themeColor="text1"/>
        </w:rPr>
      </w:pPr>
      <w:r w:rsidRPr="00390B8E">
        <w:rPr>
          <w:color w:val="000000" w:themeColor="text1"/>
        </w:rPr>
        <w:t xml:space="preserve">Analysis by </w:t>
      </w:r>
      <w:proofErr w:type="spellStart"/>
      <w:r w:rsidRPr="00390B8E">
        <w:rPr>
          <w:color w:val="000000" w:themeColor="text1"/>
        </w:rPr>
        <w:t>Headberry</w:t>
      </w:r>
      <w:proofErr w:type="spellEnd"/>
      <w:r w:rsidRPr="00390B8E">
        <w:rPr>
          <w:color w:val="000000" w:themeColor="text1"/>
        </w:rPr>
        <w:t xml:space="preserve"> Partners highlights the consistent tendency for distributors to under-spend their allowance</w:t>
      </w:r>
      <w:r w:rsidR="00FF48EC" w:rsidRPr="00390B8E">
        <w:rPr>
          <w:color w:val="000000" w:themeColor="text1"/>
        </w:rPr>
        <w:t xml:space="preserve"> most years. It’s argued that were the opex base year approaching efficiency</w:t>
      </w:r>
      <w:r w:rsidR="000F0D56" w:rsidRPr="00390B8E">
        <w:rPr>
          <w:color w:val="000000" w:themeColor="text1"/>
        </w:rPr>
        <w:t xml:space="preserve">, </w:t>
      </w:r>
      <w:r w:rsidR="00FF48EC" w:rsidRPr="00390B8E">
        <w:rPr>
          <w:color w:val="000000" w:themeColor="text1"/>
        </w:rPr>
        <w:t>the allowance</w:t>
      </w:r>
      <w:r w:rsidR="003A66F2" w:rsidRPr="00390B8E">
        <w:rPr>
          <w:color w:val="000000" w:themeColor="text1"/>
        </w:rPr>
        <w:t xml:space="preserve"> would be regularly exceeded. </w:t>
      </w:r>
    </w:p>
    <w:p w14:paraId="5ED6220A" w14:textId="4ABC1AA8" w:rsidR="00301FD9" w:rsidRPr="00390B8E" w:rsidRDefault="00FD5940" w:rsidP="00B41CE7">
      <w:pPr>
        <w:pStyle w:val="BodytextRPC"/>
        <w:rPr>
          <w:color w:val="000000" w:themeColor="text1"/>
        </w:rPr>
      </w:pPr>
      <w:r w:rsidRPr="00390B8E">
        <w:rPr>
          <w:color w:val="000000" w:themeColor="text1"/>
        </w:rPr>
        <w:t>The</w:t>
      </w:r>
      <w:r w:rsidR="00301FD9" w:rsidRPr="00390B8E">
        <w:rPr>
          <w:color w:val="000000" w:themeColor="text1"/>
        </w:rPr>
        <w:t xml:space="preserve"> analysis highlights the productivity decline over time for all distributors except United Energy. The average annual decline in opex productivity over the last 14 years of available data exceeds the AER’s requirement for an opex improvement, with trends </w:t>
      </w:r>
      <w:r w:rsidR="00301FD9" w:rsidRPr="00390B8E">
        <w:rPr>
          <w:color w:val="000000" w:themeColor="text1"/>
        </w:rPr>
        <w:lastRenderedPageBreak/>
        <w:t xml:space="preserve">ranging between -1% and -2.7% decline per year, versus the AER’s nominated 0.5% improvement. </w:t>
      </w:r>
    </w:p>
    <w:p w14:paraId="6F4A6D04" w14:textId="0495B7B0" w:rsidR="000F0D56" w:rsidRPr="00390B8E" w:rsidRDefault="003A66F2" w:rsidP="00B41CE7">
      <w:pPr>
        <w:pStyle w:val="BodytextRPC"/>
        <w:rPr>
          <w:color w:val="000000" w:themeColor="text1"/>
        </w:rPr>
      </w:pPr>
      <w:r w:rsidRPr="00390B8E">
        <w:rPr>
          <w:color w:val="000000" w:themeColor="text1"/>
        </w:rPr>
        <w:t>A bottom-up ‘sanity check’ has been proposed as a potential step in evaluating efficiency.</w:t>
      </w:r>
    </w:p>
    <w:p w14:paraId="58A94693" w14:textId="62BAE132" w:rsidR="003072BF" w:rsidRPr="00390B8E" w:rsidRDefault="003072BF" w:rsidP="003072BF">
      <w:pPr>
        <w:pStyle w:val="Heading2"/>
      </w:pPr>
      <w:bookmarkStart w:id="20" w:name="_Toc61341275"/>
      <w:r w:rsidRPr="00390B8E">
        <w:t>Opex base year</w:t>
      </w:r>
      <w:bookmarkEnd w:id="20"/>
    </w:p>
    <w:p w14:paraId="0E57F7F5" w14:textId="2F3C1DF1" w:rsidR="003072BF" w:rsidRPr="00390B8E" w:rsidRDefault="00006687" w:rsidP="00D81AC7">
      <w:pPr>
        <w:pStyle w:val="BodytextRPC"/>
        <w:rPr>
          <w:color w:val="000000" w:themeColor="text1"/>
        </w:rPr>
      </w:pPr>
      <w:r w:rsidRPr="00390B8E">
        <w:rPr>
          <w:color w:val="000000" w:themeColor="text1"/>
        </w:rPr>
        <w:t>The base year for CPPALUE networks was updated for real 2019 figures, which reduced the allowance for these networks. Jemena’s base year was determined to be inefficient, and a reduction by 15% was recommended, to be achieved over the course of the period.</w:t>
      </w:r>
    </w:p>
    <w:p w14:paraId="12A2B826" w14:textId="041DB29F" w:rsidR="0086671A" w:rsidRPr="00390B8E" w:rsidRDefault="0086671A" w:rsidP="00CD20C0">
      <w:pPr>
        <w:pStyle w:val="Heading3"/>
      </w:pPr>
      <w:bookmarkStart w:id="21" w:name="_Toc61341276"/>
      <w:r w:rsidRPr="00390B8E">
        <w:t>Jemena opex base year efficiency</w:t>
      </w:r>
      <w:bookmarkEnd w:id="21"/>
    </w:p>
    <w:p w14:paraId="077F3A83" w14:textId="77777777" w:rsidR="0086671A" w:rsidRPr="00390B8E" w:rsidRDefault="0086671A" w:rsidP="00301FD9">
      <w:pPr>
        <w:pStyle w:val="BodytextRPC"/>
        <w:rPr>
          <w:color w:val="000000" w:themeColor="text1"/>
        </w:rPr>
      </w:pPr>
      <w:r w:rsidRPr="00390B8E">
        <w:rPr>
          <w:color w:val="000000" w:themeColor="text1"/>
        </w:rPr>
        <w:t xml:space="preserve">We support the AER’s decision to apply an efficiency adjustment to Jemena’s base-year opex. </w:t>
      </w:r>
    </w:p>
    <w:p w14:paraId="36F4699D" w14:textId="77777777" w:rsidR="0086671A" w:rsidRPr="00390B8E" w:rsidRDefault="0086671A" w:rsidP="00301FD9">
      <w:pPr>
        <w:pStyle w:val="BodytextRPC"/>
        <w:rPr>
          <w:color w:val="000000" w:themeColor="text1"/>
        </w:rPr>
      </w:pPr>
      <w:r w:rsidRPr="00390B8E">
        <w:rPr>
          <w:color w:val="000000" w:themeColor="text1"/>
        </w:rPr>
        <w:t xml:space="preserve">We note that Jemena already achieved almost half of the applied efficiency adjustment before it was imposed, by applying the gains from their 2019 transformation program in their initial update. </w:t>
      </w:r>
    </w:p>
    <w:p w14:paraId="59848473" w14:textId="2A622291" w:rsidR="0086671A" w:rsidRPr="00390B8E" w:rsidRDefault="0086671A" w:rsidP="00301FD9">
      <w:pPr>
        <w:pStyle w:val="BodytextRPC"/>
        <w:rPr>
          <w:color w:val="000000" w:themeColor="text1"/>
        </w:rPr>
      </w:pPr>
      <w:r w:rsidRPr="00390B8E">
        <w:rPr>
          <w:color w:val="000000" w:themeColor="text1"/>
        </w:rPr>
        <w:t xml:space="preserve">In the VCO’s submission to the </w:t>
      </w:r>
      <w:r w:rsidR="00FD5940" w:rsidRPr="00390B8E">
        <w:rPr>
          <w:color w:val="000000" w:themeColor="text1"/>
        </w:rPr>
        <w:t>initial</w:t>
      </w:r>
      <w:r w:rsidRPr="00390B8E">
        <w:rPr>
          <w:color w:val="000000" w:themeColor="text1"/>
        </w:rPr>
        <w:t xml:space="preserve"> proposals we noted that Jemena’s benchmarked opex productivity was low not just compared to other networks, but had also declined over the long term (See </w:t>
      </w:r>
      <w:r w:rsidRPr="00390B8E">
        <w:rPr>
          <w:color w:val="000000" w:themeColor="text1"/>
        </w:rPr>
        <w:fldChar w:fldCharType="begin"/>
      </w:r>
      <w:r w:rsidRPr="00390B8E">
        <w:rPr>
          <w:color w:val="000000" w:themeColor="text1"/>
        </w:rPr>
        <w:instrText xml:space="preserve"> REF _Ref58361028 \h </w:instrText>
      </w:r>
      <w:r w:rsidR="00301FD9" w:rsidRPr="00390B8E">
        <w:rPr>
          <w:color w:val="000000" w:themeColor="text1"/>
        </w:rPr>
        <w:instrText xml:space="preserve"> \* MERGEFORMAT </w:instrText>
      </w:r>
      <w:r w:rsidRPr="00390B8E">
        <w:rPr>
          <w:color w:val="000000" w:themeColor="text1"/>
        </w:rPr>
      </w:r>
      <w:r w:rsidRPr="00390B8E">
        <w:rPr>
          <w:color w:val="000000" w:themeColor="text1"/>
        </w:rPr>
        <w:fldChar w:fldCharType="separate"/>
      </w:r>
      <w:r w:rsidRPr="00390B8E">
        <w:rPr>
          <w:color w:val="000000" w:themeColor="text1"/>
        </w:rPr>
        <w:t>Figure 1</w:t>
      </w:r>
      <w:r w:rsidRPr="00390B8E">
        <w:rPr>
          <w:color w:val="000000" w:themeColor="text1"/>
        </w:rPr>
        <w:fldChar w:fldCharType="end"/>
      </w:r>
      <w:r w:rsidRPr="00390B8E">
        <w:rPr>
          <w:color w:val="000000" w:themeColor="text1"/>
        </w:rPr>
        <w:t>). This decline over time – unlike the low benchmarking result against other distributors – is not resolved by addressing objections raised by Jemena in their revised proposal, such as the treatment of capitalisation.</w:t>
      </w:r>
      <w:r w:rsidRPr="00390B8E">
        <w:rPr>
          <w:rStyle w:val="FootnoteReference"/>
          <w:color w:val="000000" w:themeColor="text1"/>
        </w:rPr>
        <w:footnoteReference w:id="21"/>
      </w:r>
      <w:r w:rsidRPr="00390B8E">
        <w:rPr>
          <w:color w:val="000000" w:themeColor="text1"/>
          <w:vertAlign w:val="superscript"/>
        </w:rPr>
        <w:t xml:space="preserve"> </w:t>
      </w:r>
      <w:r w:rsidRPr="00390B8E">
        <w:rPr>
          <w:color w:val="000000" w:themeColor="text1"/>
        </w:rPr>
        <w:t>(We also note that Jemena ranks behind the other urban Victorian networks in capex productivity according to the October 2019  Economics Insight benchmarking report, in a trend that is also declining.</w:t>
      </w:r>
      <w:r w:rsidRPr="00390B8E">
        <w:rPr>
          <w:rStyle w:val="FootnoteReference"/>
          <w:color w:val="000000" w:themeColor="text1"/>
        </w:rPr>
        <w:footnoteReference w:id="22"/>
      </w:r>
      <w:r w:rsidRPr="00390B8E">
        <w:rPr>
          <w:color w:val="000000" w:themeColor="text1"/>
        </w:rPr>
        <w:t>)</w:t>
      </w:r>
    </w:p>
    <w:p w14:paraId="4BDA1681" w14:textId="77777777" w:rsidR="0086671A" w:rsidRPr="00390B8E" w:rsidRDefault="0086671A" w:rsidP="00301FD9">
      <w:pPr>
        <w:pStyle w:val="BodytextRPC"/>
        <w:rPr>
          <w:color w:val="000000" w:themeColor="text1"/>
        </w:rPr>
      </w:pPr>
      <w:r w:rsidRPr="00390B8E">
        <w:rPr>
          <w:color w:val="000000" w:themeColor="text1"/>
        </w:rPr>
        <w:t>This demonstrates the case for the AER’s decision to apply a glide path towards a 15% efficiency improvement on the base year over the course of the period.</w:t>
      </w:r>
    </w:p>
    <w:p w14:paraId="7A32CC9F" w14:textId="6877ABDF" w:rsidR="00FF48EC" w:rsidRPr="00390B8E" w:rsidRDefault="00B46557" w:rsidP="00CD20C0">
      <w:pPr>
        <w:pStyle w:val="Heading3"/>
        <w:rPr>
          <w:color w:val="000000" w:themeColor="text1"/>
        </w:rPr>
      </w:pPr>
      <w:bookmarkStart w:id="22" w:name="_Toc61341277"/>
      <w:r w:rsidRPr="00390B8E">
        <w:rPr>
          <w:color w:val="000000" w:themeColor="text1"/>
        </w:rPr>
        <w:t>AusNet</w:t>
      </w:r>
      <w:r w:rsidR="00172886" w:rsidRPr="00390B8E">
        <w:rPr>
          <w:color w:val="000000" w:themeColor="text1"/>
        </w:rPr>
        <w:t xml:space="preserve"> Services opex base year efficiency</w:t>
      </w:r>
      <w:bookmarkEnd w:id="22"/>
    </w:p>
    <w:p w14:paraId="3EF1EA71" w14:textId="2D2C8A4C" w:rsidR="000959E1" w:rsidRPr="00390B8E" w:rsidRDefault="000959E1" w:rsidP="00172886">
      <w:pPr>
        <w:pStyle w:val="BodytextRPC"/>
        <w:rPr>
          <w:color w:val="000000" w:themeColor="text1"/>
        </w:rPr>
      </w:pPr>
      <w:r w:rsidRPr="00390B8E">
        <w:rPr>
          <w:color w:val="000000" w:themeColor="text1"/>
        </w:rPr>
        <w:t xml:space="preserve">The VCO’s submission to the initial proposals also raised the potential that </w:t>
      </w:r>
      <w:r w:rsidR="00B46557" w:rsidRPr="00390B8E">
        <w:rPr>
          <w:color w:val="000000" w:themeColor="text1"/>
        </w:rPr>
        <w:t>AusNet</w:t>
      </w:r>
      <w:r w:rsidRPr="00390B8E">
        <w:rPr>
          <w:color w:val="000000" w:themeColor="text1"/>
        </w:rPr>
        <w:t xml:space="preserve"> Services’ opex base year was inefficient. </w:t>
      </w:r>
    </w:p>
    <w:p w14:paraId="42169CE2" w14:textId="70933674" w:rsidR="00172886" w:rsidRPr="00390B8E" w:rsidRDefault="000959E1" w:rsidP="00172886">
      <w:pPr>
        <w:pStyle w:val="BodytextRPC"/>
        <w:rPr>
          <w:color w:val="000000" w:themeColor="text1"/>
        </w:rPr>
      </w:pPr>
      <w:r w:rsidRPr="00390B8E">
        <w:rPr>
          <w:color w:val="000000" w:themeColor="text1"/>
        </w:rPr>
        <w:t xml:space="preserve">Attached analysis from </w:t>
      </w:r>
      <w:proofErr w:type="spellStart"/>
      <w:r w:rsidRPr="00390B8E">
        <w:rPr>
          <w:color w:val="000000" w:themeColor="text1"/>
        </w:rPr>
        <w:t>Headberry</w:t>
      </w:r>
      <w:proofErr w:type="spellEnd"/>
      <w:r w:rsidRPr="00390B8E">
        <w:rPr>
          <w:color w:val="000000" w:themeColor="text1"/>
        </w:rPr>
        <w:t xml:space="preserve"> Partners puts forward several points of evidence to support this case: </w:t>
      </w:r>
      <w:r w:rsidR="00B46557" w:rsidRPr="00390B8E">
        <w:rPr>
          <w:color w:val="000000" w:themeColor="text1"/>
        </w:rPr>
        <w:t>AusNet</w:t>
      </w:r>
      <w:r w:rsidRPr="00390B8E">
        <w:rPr>
          <w:color w:val="000000" w:themeColor="text1"/>
        </w:rPr>
        <w:t xml:space="preserve">’s opex is consistently and significantly lower than </w:t>
      </w:r>
      <w:proofErr w:type="spellStart"/>
      <w:r w:rsidRPr="00390B8E">
        <w:rPr>
          <w:color w:val="000000" w:themeColor="text1"/>
        </w:rPr>
        <w:t>Powercor’s</w:t>
      </w:r>
      <w:proofErr w:type="spellEnd"/>
      <w:r w:rsidRPr="00390B8E">
        <w:rPr>
          <w:color w:val="000000" w:themeColor="text1"/>
        </w:rPr>
        <w:t xml:space="preserve"> </w:t>
      </w:r>
      <w:r w:rsidR="00FD5940" w:rsidRPr="00390B8E">
        <w:rPr>
          <w:color w:val="000000" w:themeColor="text1"/>
        </w:rPr>
        <w:lastRenderedPageBreak/>
        <w:t>(</w:t>
      </w:r>
      <w:r w:rsidRPr="00390B8E">
        <w:rPr>
          <w:color w:val="000000" w:themeColor="text1"/>
        </w:rPr>
        <w:t xml:space="preserve">Victoria’s other </w:t>
      </w:r>
      <w:r w:rsidR="00464FE4" w:rsidRPr="00390B8E">
        <w:rPr>
          <w:color w:val="000000" w:themeColor="text1"/>
        </w:rPr>
        <w:t>rural network</w:t>
      </w:r>
      <w:r w:rsidR="00FD5940" w:rsidRPr="00390B8E">
        <w:rPr>
          <w:color w:val="000000" w:themeColor="text1"/>
        </w:rPr>
        <w:t>)</w:t>
      </w:r>
      <w:r w:rsidR="00464FE4" w:rsidRPr="00390B8E">
        <w:rPr>
          <w:color w:val="000000" w:themeColor="text1"/>
        </w:rPr>
        <w:t>, on a range of measures</w:t>
      </w:r>
      <w:r w:rsidR="00CD20C0" w:rsidRPr="00390B8E">
        <w:rPr>
          <w:color w:val="000000" w:themeColor="text1"/>
        </w:rPr>
        <w:t xml:space="preserve">, and </w:t>
      </w:r>
      <w:r w:rsidR="00B46557" w:rsidRPr="00390B8E">
        <w:rPr>
          <w:color w:val="000000" w:themeColor="text1"/>
        </w:rPr>
        <w:t>AusNet</w:t>
      </w:r>
      <w:r w:rsidR="00CD20C0" w:rsidRPr="00390B8E">
        <w:rPr>
          <w:color w:val="000000" w:themeColor="text1"/>
        </w:rPr>
        <w:t xml:space="preserve">’s productivity has declined </w:t>
      </w:r>
      <w:r w:rsidR="00FD5940" w:rsidRPr="00390B8E">
        <w:rPr>
          <w:color w:val="000000" w:themeColor="text1"/>
        </w:rPr>
        <w:t>most steeply</w:t>
      </w:r>
      <w:r w:rsidR="00CD20C0" w:rsidRPr="00390B8E">
        <w:rPr>
          <w:color w:val="000000" w:themeColor="text1"/>
        </w:rPr>
        <w:t xml:space="preserve"> over time. </w:t>
      </w:r>
    </w:p>
    <w:p w14:paraId="7240A791" w14:textId="77FFECB9" w:rsidR="00172886" w:rsidRPr="00390B8E" w:rsidRDefault="00CD20C0" w:rsidP="00172886">
      <w:pPr>
        <w:pStyle w:val="BodytextRPC"/>
        <w:rPr>
          <w:color w:val="000000" w:themeColor="text1"/>
        </w:rPr>
      </w:pPr>
      <w:r w:rsidRPr="00390B8E">
        <w:rPr>
          <w:color w:val="000000" w:themeColor="text1"/>
        </w:rPr>
        <w:t xml:space="preserve">The analysis also notes the increase in </w:t>
      </w:r>
      <w:proofErr w:type="spellStart"/>
      <w:r w:rsidRPr="00390B8E">
        <w:rPr>
          <w:color w:val="000000" w:themeColor="text1"/>
        </w:rPr>
        <w:t>repex</w:t>
      </w:r>
      <w:proofErr w:type="spellEnd"/>
      <w:r w:rsidRPr="00390B8E">
        <w:rPr>
          <w:color w:val="000000" w:themeColor="text1"/>
        </w:rPr>
        <w:t xml:space="preserve"> over time and in the current period, and the expectation that </w:t>
      </w:r>
      <w:r w:rsidR="00FD5940" w:rsidRPr="00390B8E">
        <w:rPr>
          <w:color w:val="000000" w:themeColor="text1"/>
        </w:rPr>
        <w:t xml:space="preserve">an increase in </w:t>
      </w:r>
      <w:proofErr w:type="spellStart"/>
      <w:r w:rsidR="00FD5940" w:rsidRPr="00390B8E">
        <w:rPr>
          <w:color w:val="000000" w:themeColor="text1"/>
        </w:rPr>
        <w:t>repex</w:t>
      </w:r>
      <w:proofErr w:type="spellEnd"/>
      <w:r w:rsidRPr="00390B8E">
        <w:rPr>
          <w:color w:val="000000" w:themeColor="text1"/>
        </w:rPr>
        <w:t xml:space="preserve"> should </w:t>
      </w:r>
      <w:r w:rsidR="00FD5940" w:rsidRPr="00390B8E">
        <w:rPr>
          <w:color w:val="000000" w:themeColor="text1"/>
        </w:rPr>
        <w:t>be expected to reduce</w:t>
      </w:r>
      <w:r w:rsidRPr="00390B8E">
        <w:rPr>
          <w:color w:val="000000" w:themeColor="text1"/>
        </w:rPr>
        <w:t xml:space="preserve"> the opex requirement. </w:t>
      </w:r>
    </w:p>
    <w:p w14:paraId="520F10C4" w14:textId="747113FC" w:rsidR="003072BF" w:rsidRPr="00390B8E" w:rsidRDefault="003072BF" w:rsidP="003072BF">
      <w:pPr>
        <w:pStyle w:val="Heading2"/>
      </w:pPr>
      <w:bookmarkStart w:id="23" w:name="_Toc61341278"/>
      <w:r w:rsidRPr="00390B8E">
        <w:t>Opex step changes</w:t>
      </w:r>
      <w:bookmarkEnd w:id="23"/>
    </w:p>
    <w:p w14:paraId="4004FEB7" w14:textId="0C6E6550" w:rsidR="00006687" w:rsidRPr="00390B8E" w:rsidRDefault="00EA58AC" w:rsidP="00006687">
      <w:pPr>
        <w:pStyle w:val="BodytextRPC"/>
        <w:rPr>
          <w:color w:val="000000" w:themeColor="text1"/>
        </w:rPr>
      </w:pPr>
      <w:r w:rsidRPr="00390B8E">
        <w:rPr>
          <w:color w:val="000000" w:themeColor="text1"/>
        </w:rPr>
        <w:t>T</w:t>
      </w:r>
      <w:r w:rsidR="00006687" w:rsidRPr="00390B8E">
        <w:rPr>
          <w:color w:val="000000" w:themeColor="text1"/>
        </w:rPr>
        <w:t>he AER</w:t>
      </w:r>
      <w:r w:rsidRPr="00390B8E">
        <w:rPr>
          <w:color w:val="000000" w:themeColor="text1"/>
        </w:rPr>
        <w:t>’s Draft Determination addressed the concerns many stakeholders raised about the legitimacy of proposed step changes from all distributors.</w:t>
      </w:r>
    </w:p>
    <w:p w14:paraId="02316297" w14:textId="2F609FF1" w:rsidR="00D77634" w:rsidRPr="00390B8E" w:rsidRDefault="00765AA2" w:rsidP="00006687">
      <w:pPr>
        <w:pStyle w:val="BodytextRPC"/>
        <w:rPr>
          <w:color w:val="000000" w:themeColor="text1"/>
        </w:rPr>
      </w:pPr>
      <w:r w:rsidRPr="00390B8E">
        <w:rPr>
          <w:color w:val="000000" w:themeColor="text1"/>
        </w:rPr>
        <w:t xml:space="preserve">Many of the step change decisions were accepted by distributors, with a number still </w:t>
      </w:r>
      <w:r w:rsidR="001E5624" w:rsidRPr="00390B8E">
        <w:rPr>
          <w:color w:val="000000" w:themeColor="text1"/>
        </w:rPr>
        <w:t>in</w:t>
      </w:r>
      <w:r w:rsidRPr="00390B8E">
        <w:rPr>
          <w:color w:val="000000" w:themeColor="text1"/>
        </w:rPr>
        <w:t xml:space="preserve"> </w:t>
      </w:r>
      <w:r w:rsidR="001E5624" w:rsidRPr="00390B8E">
        <w:rPr>
          <w:color w:val="000000" w:themeColor="text1"/>
        </w:rPr>
        <w:t>negotiation via the revised proposals.</w:t>
      </w:r>
    </w:p>
    <w:p w14:paraId="54690641" w14:textId="27A930AA" w:rsidR="00765AA2" w:rsidRPr="00390B8E" w:rsidRDefault="00765AA2" w:rsidP="00006687">
      <w:pPr>
        <w:pStyle w:val="BodytextRPC"/>
        <w:rPr>
          <w:color w:val="000000" w:themeColor="text1"/>
        </w:rPr>
      </w:pPr>
      <w:r w:rsidRPr="00390B8E">
        <w:rPr>
          <w:color w:val="000000" w:themeColor="text1"/>
        </w:rPr>
        <w:t xml:space="preserve">The CPPALUE networks objected to the AER citing materiality as grounds for challenging step changes. We support the arguments included in </w:t>
      </w:r>
      <w:proofErr w:type="spellStart"/>
      <w:r w:rsidR="001B733D" w:rsidRPr="00390B8E">
        <w:rPr>
          <w:color w:val="000000" w:themeColor="text1"/>
        </w:rPr>
        <w:t>Headberry</w:t>
      </w:r>
      <w:proofErr w:type="spellEnd"/>
      <w:r w:rsidR="001B733D" w:rsidRPr="00390B8E">
        <w:rPr>
          <w:color w:val="000000" w:themeColor="text1"/>
        </w:rPr>
        <w:t xml:space="preserve"> Partners’</w:t>
      </w:r>
      <w:r w:rsidRPr="00390B8E">
        <w:rPr>
          <w:color w:val="000000" w:themeColor="text1"/>
        </w:rPr>
        <w:t xml:space="preserve"> analysis in defence of th</w:t>
      </w:r>
      <w:r w:rsidR="001E5624" w:rsidRPr="00390B8E">
        <w:rPr>
          <w:color w:val="000000" w:themeColor="text1"/>
        </w:rPr>
        <w:t xml:space="preserve">e validity of materiality as a criterion </w:t>
      </w:r>
      <w:r w:rsidRPr="00390B8E">
        <w:rPr>
          <w:color w:val="000000" w:themeColor="text1"/>
        </w:rPr>
        <w:t xml:space="preserve">– </w:t>
      </w:r>
      <w:r w:rsidR="00D412CF" w:rsidRPr="00390B8E">
        <w:rPr>
          <w:color w:val="000000" w:themeColor="text1"/>
        </w:rPr>
        <w:t>small increases in operating costs should be expected to be offset by equivalent reductions</w:t>
      </w:r>
      <w:r w:rsidR="001B733D" w:rsidRPr="00390B8E">
        <w:rPr>
          <w:color w:val="000000" w:themeColor="text1"/>
        </w:rPr>
        <w:t xml:space="preserve"> which are unlikely to be nominated as negative step changes</w:t>
      </w:r>
      <w:r w:rsidR="00D412CF" w:rsidRPr="00390B8E">
        <w:rPr>
          <w:color w:val="000000" w:themeColor="text1"/>
        </w:rPr>
        <w:t>.</w:t>
      </w:r>
    </w:p>
    <w:p w14:paraId="3DD6D3C9" w14:textId="166582E1" w:rsidR="00D412CF" w:rsidRPr="00390B8E" w:rsidRDefault="00D412CF" w:rsidP="00006687">
      <w:pPr>
        <w:pStyle w:val="BodytextRPC"/>
        <w:rPr>
          <w:color w:val="000000" w:themeColor="text1"/>
        </w:rPr>
      </w:pPr>
      <w:r w:rsidRPr="00390B8E">
        <w:rPr>
          <w:color w:val="000000" w:themeColor="text1"/>
        </w:rPr>
        <w:t xml:space="preserve">The analysis has </w:t>
      </w:r>
      <w:r w:rsidR="001E5624" w:rsidRPr="00390B8E">
        <w:rPr>
          <w:color w:val="000000" w:themeColor="text1"/>
        </w:rPr>
        <w:t>suggested</w:t>
      </w:r>
      <w:r w:rsidRPr="00390B8E">
        <w:rPr>
          <w:color w:val="000000" w:themeColor="text1"/>
        </w:rPr>
        <w:t xml:space="preserve"> materiality as a </w:t>
      </w:r>
      <w:r w:rsidR="001E5624" w:rsidRPr="00390B8E">
        <w:rPr>
          <w:color w:val="000000" w:themeColor="text1"/>
        </w:rPr>
        <w:t xml:space="preserve">relevant </w:t>
      </w:r>
      <w:r w:rsidRPr="00390B8E">
        <w:rPr>
          <w:color w:val="000000" w:themeColor="text1"/>
        </w:rPr>
        <w:t xml:space="preserve">reason to challenge the </w:t>
      </w:r>
      <w:r w:rsidR="001E5624" w:rsidRPr="00390B8E">
        <w:rPr>
          <w:color w:val="000000" w:themeColor="text1"/>
        </w:rPr>
        <w:t>proposed</w:t>
      </w:r>
      <w:r w:rsidRPr="00390B8E">
        <w:rPr>
          <w:color w:val="000000" w:themeColor="text1"/>
        </w:rPr>
        <w:t xml:space="preserve"> AEMO fees and ESV levy, which we support. </w:t>
      </w:r>
    </w:p>
    <w:p w14:paraId="0B09CD73" w14:textId="26B635BB" w:rsidR="004E6360" w:rsidRPr="00390B8E" w:rsidRDefault="00B46557" w:rsidP="004E6360">
      <w:pPr>
        <w:pStyle w:val="Heading3"/>
      </w:pPr>
      <w:bookmarkStart w:id="24" w:name="_Toc61341279"/>
      <w:r w:rsidRPr="00390B8E">
        <w:t>AusNet</w:t>
      </w:r>
      <w:r w:rsidR="004E6360" w:rsidRPr="00390B8E">
        <w:t xml:space="preserve"> Services innovation fund</w:t>
      </w:r>
      <w:bookmarkEnd w:id="24"/>
    </w:p>
    <w:p w14:paraId="121B7119" w14:textId="69CA6114" w:rsidR="004E6360" w:rsidRPr="00390B8E" w:rsidRDefault="004E6360" w:rsidP="004E6360">
      <w:pPr>
        <w:pStyle w:val="BodytextRPC"/>
        <w:rPr>
          <w:color w:val="000000" w:themeColor="text1"/>
        </w:rPr>
      </w:pPr>
      <w:r w:rsidRPr="00390B8E">
        <w:rPr>
          <w:color w:val="000000" w:themeColor="text1"/>
        </w:rPr>
        <w:t xml:space="preserve">We support the innovation projects proposed by </w:t>
      </w:r>
      <w:r w:rsidR="00B46557" w:rsidRPr="00390B8E">
        <w:rPr>
          <w:color w:val="000000" w:themeColor="text1"/>
        </w:rPr>
        <w:t>AusNet</w:t>
      </w:r>
      <w:r w:rsidRPr="00390B8E">
        <w:rPr>
          <w:color w:val="000000" w:themeColor="text1"/>
        </w:rPr>
        <w:t xml:space="preserve"> Services and acknowledge the importance of building capacity in the areas nominated. In this case, we are not opposed to granting the funds nominated, given that the total funding for the seven projects is not excessive, and </w:t>
      </w:r>
      <w:r w:rsidR="00B46557" w:rsidRPr="00390B8E">
        <w:rPr>
          <w:color w:val="000000" w:themeColor="text1"/>
        </w:rPr>
        <w:t>AusNet</w:t>
      </w:r>
      <w:r w:rsidRPr="00390B8E">
        <w:rPr>
          <w:color w:val="000000" w:themeColor="text1"/>
        </w:rPr>
        <w:t xml:space="preserve"> has agreed to claim only money spent, without applying CESS. </w:t>
      </w:r>
    </w:p>
    <w:p w14:paraId="41CE8806" w14:textId="26CAE06D" w:rsidR="004E6360" w:rsidRPr="00390B8E" w:rsidRDefault="004E6360" w:rsidP="004E6360">
      <w:pPr>
        <w:pStyle w:val="BodytextRPC"/>
        <w:rPr>
          <w:color w:val="000000" w:themeColor="text1"/>
        </w:rPr>
      </w:pPr>
      <w:r w:rsidRPr="00390B8E">
        <w:rPr>
          <w:color w:val="000000" w:themeColor="text1"/>
        </w:rPr>
        <w:t xml:space="preserve">However, </w:t>
      </w:r>
      <w:r w:rsidR="008734CA" w:rsidRPr="00390B8E">
        <w:rPr>
          <w:color w:val="000000" w:themeColor="text1"/>
        </w:rPr>
        <w:t>allowing</w:t>
      </w:r>
      <w:r w:rsidRPr="00390B8E">
        <w:rPr>
          <w:color w:val="000000" w:themeColor="text1"/>
        </w:rPr>
        <w:t xml:space="preserve"> regulated businesses </w:t>
      </w:r>
      <w:r w:rsidR="008734CA" w:rsidRPr="00390B8E">
        <w:rPr>
          <w:color w:val="000000" w:themeColor="text1"/>
        </w:rPr>
        <w:t>to charge customers</w:t>
      </w:r>
      <w:r w:rsidRPr="00390B8E">
        <w:rPr>
          <w:color w:val="000000" w:themeColor="text1"/>
        </w:rPr>
        <w:t xml:space="preserve"> for innovation</w:t>
      </w:r>
      <w:r w:rsidR="008734CA" w:rsidRPr="00390B8E">
        <w:rPr>
          <w:color w:val="000000" w:themeColor="text1"/>
        </w:rPr>
        <w:t xml:space="preserve"> projects</w:t>
      </w:r>
      <w:r w:rsidRPr="00390B8E">
        <w:rPr>
          <w:color w:val="000000" w:themeColor="text1"/>
        </w:rPr>
        <w:t xml:space="preserve"> is not best practice. It is preferable that </w:t>
      </w:r>
      <w:r w:rsidR="003A6317" w:rsidRPr="00390B8E">
        <w:rPr>
          <w:color w:val="000000" w:themeColor="text1"/>
        </w:rPr>
        <w:t>innovation projects to benefit consumers be selected through a competitive process, and that funds be</w:t>
      </w:r>
      <w:r w:rsidRPr="00390B8E">
        <w:rPr>
          <w:color w:val="000000" w:themeColor="text1"/>
        </w:rPr>
        <w:t xml:space="preserve"> administered by an independent external party. Proper oversite will also ensure that knowledge from </w:t>
      </w:r>
      <w:proofErr w:type="gramStart"/>
      <w:r w:rsidRPr="00390B8E">
        <w:rPr>
          <w:color w:val="000000" w:themeColor="text1"/>
        </w:rPr>
        <w:t>publicly-funded</w:t>
      </w:r>
      <w:proofErr w:type="gramEnd"/>
      <w:r w:rsidRPr="00390B8E">
        <w:rPr>
          <w:color w:val="000000" w:themeColor="text1"/>
        </w:rPr>
        <w:t xml:space="preserve"> projects is properly shared by distribution businesses</w:t>
      </w:r>
      <w:r w:rsidR="003A6317" w:rsidRPr="00390B8E">
        <w:rPr>
          <w:color w:val="000000" w:themeColor="text1"/>
        </w:rPr>
        <w:t>.</w:t>
      </w:r>
    </w:p>
    <w:p w14:paraId="2B453402" w14:textId="232CD43E" w:rsidR="004E6360" w:rsidRPr="00390B8E" w:rsidRDefault="004E6360" w:rsidP="004E6360">
      <w:pPr>
        <w:pStyle w:val="BodytextRPC"/>
        <w:rPr>
          <w:color w:val="000000" w:themeColor="text1"/>
        </w:rPr>
      </w:pPr>
      <w:r w:rsidRPr="00390B8E">
        <w:rPr>
          <w:color w:val="000000" w:themeColor="text1"/>
        </w:rPr>
        <w:t xml:space="preserve">Although we do not oppose </w:t>
      </w:r>
      <w:r w:rsidR="00B46557" w:rsidRPr="00390B8E">
        <w:rPr>
          <w:color w:val="000000" w:themeColor="text1"/>
        </w:rPr>
        <w:t>AusNet</w:t>
      </w:r>
      <w:r w:rsidRPr="00390B8E">
        <w:rPr>
          <w:color w:val="000000" w:themeColor="text1"/>
        </w:rPr>
        <w:t xml:space="preserve"> Services </w:t>
      </w:r>
      <w:r w:rsidR="003A6317" w:rsidRPr="00390B8E">
        <w:rPr>
          <w:color w:val="000000" w:themeColor="text1"/>
        </w:rPr>
        <w:t>innovation proposal</w:t>
      </w:r>
      <w:r w:rsidRPr="00390B8E">
        <w:rPr>
          <w:color w:val="000000" w:themeColor="text1"/>
        </w:rPr>
        <w:t xml:space="preserve"> for this EDPR, we recommend that a better independent framework to ensure accountability is established for future resets. </w:t>
      </w:r>
    </w:p>
    <w:p w14:paraId="18E904CC" w14:textId="184C4D7C" w:rsidR="004E6360" w:rsidRPr="00390B8E" w:rsidRDefault="00B46557" w:rsidP="004E6360">
      <w:pPr>
        <w:pStyle w:val="Heading3"/>
      </w:pPr>
      <w:bookmarkStart w:id="25" w:name="_Toc61341280"/>
      <w:r w:rsidRPr="00390B8E">
        <w:t>AusNet</w:t>
      </w:r>
      <w:r w:rsidR="004E6360" w:rsidRPr="00390B8E">
        <w:t xml:space="preserve"> Services bushfire insurance</w:t>
      </w:r>
      <w:bookmarkEnd w:id="25"/>
    </w:p>
    <w:p w14:paraId="3E69D84E" w14:textId="5B8E3E98" w:rsidR="004E6360" w:rsidRPr="00390B8E" w:rsidRDefault="00B46557" w:rsidP="004E6360">
      <w:pPr>
        <w:pStyle w:val="BodytextRPC"/>
        <w:rPr>
          <w:color w:val="000000" w:themeColor="text1"/>
        </w:rPr>
      </w:pPr>
      <w:r w:rsidRPr="00390B8E">
        <w:rPr>
          <w:color w:val="000000" w:themeColor="text1"/>
        </w:rPr>
        <w:t>AusNet</w:t>
      </w:r>
      <w:r w:rsidR="004333FB" w:rsidRPr="00390B8E">
        <w:rPr>
          <w:color w:val="000000" w:themeColor="text1"/>
        </w:rPr>
        <w:t xml:space="preserve"> Services has made a revision in their revised proposal to allow for increased insurance costs from those anticipated a year ago, d</w:t>
      </w:r>
      <w:r w:rsidR="004E6360" w:rsidRPr="00390B8E">
        <w:rPr>
          <w:color w:val="000000" w:themeColor="text1"/>
        </w:rPr>
        <w:t xml:space="preserve">espite </w:t>
      </w:r>
      <w:r w:rsidR="004333FB" w:rsidRPr="00390B8E">
        <w:rPr>
          <w:color w:val="000000" w:themeColor="text1"/>
        </w:rPr>
        <w:t xml:space="preserve">taking measures to reduce </w:t>
      </w:r>
      <w:r w:rsidR="004333FB" w:rsidRPr="00390B8E">
        <w:rPr>
          <w:color w:val="000000" w:themeColor="text1"/>
        </w:rPr>
        <w:lastRenderedPageBreak/>
        <w:t>ongoing insurance cost by carrying more risk (increasing</w:t>
      </w:r>
      <w:r w:rsidR="004E6360" w:rsidRPr="00390B8E">
        <w:rPr>
          <w:color w:val="000000" w:themeColor="text1"/>
        </w:rPr>
        <w:t xml:space="preserve"> the deductable and reducing coverage</w:t>
      </w:r>
      <w:r w:rsidR="004333FB" w:rsidRPr="00390B8E">
        <w:rPr>
          <w:color w:val="000000" w:themeColor="text1"/>
        </w:rPr>
        <w:t>).</w:t>
      </w:r>
      <w:r w:rsidR="004E6360" w:rsidRPr="00390B8E">
        <w:rPr>
          <w:color w:val="000000" w:themeColor="text1"/>
        </w:rPr>
        <w:t xml:space="preserve"> </w:t>
      </w:r>
    </w:p>
    <w:p w14:paraId="1EDC74CF" w14:textId="20BCBEBB" w:rsidR="008235C5" w:rsidRPr="00390B8E" w:rsidRDefault="008235C5" w:rsidP="004E6360">
      <w:pPr>
        <w:pStyle w:val="BodytextRPC"/>
        <w:rPr>
          <w:color w:val="000000" w:themeColor="text1"/>
        </w:rPr>
      </w:pPr>
      <w:r w:rsidRPr="00390B8E">
        <w:rPr>
          <w:color w:val="000000" w:themeColor="text1"/>
        </w:rPr>
        <w:t>We support the</w:t>
      </w:r>
      <w:r w:rsidR="006A1AED" w:rsidRPr="00390B8E">
        <w:rPr>
          <w:color w:val="000000" w:themeColor="text1"/>
        </w:rPr>
        <w:t xml:space="preserve"> attached report’s appeal for an analysis of the insurance proposals from each distributor, to consider the balance of risk and coverage implied by each – and to ensure that </w:t>
      </w:r>
      <w:r w:rsidR="00B46557" w:rsidRPr="00390B8E">
        <w:rPr>
          <w:color w:val="000000" w:themeColor="text1"/>
        </w:rPr>
        <w:t>AusNet</w:t>
      </w:r>
      <w:r w:rsidR="006A1AED" w:rsidRPr="00390B8E">
        <w:rPr>
          <w:color w:val="000000" w:themeColor="text1"/>
        </w:rPr>
        <w:t xml:space="preserve"> Services’ new step claim for $10.5 million in insurance costs, and the other networks’ pass</w:t>
      </w:r>
      <w:r w:rsidR="001E5624" w:rsidRPr="00390B8E">
        <w:rPr>
          <w:color w:val="000000" w:themeColor="text1"/>
        </w:rPr>
        <w:t>-</w:t>
      </w:r>
      <w:r w:rsidR="006A1AED" w:rsidRPr="00390B8E">
        <w:rPr>
          <w:color w:val="000000" w:themeColor="text1"/>
        </w:rPr>
        <w:t>through request, will not lead to double</w:t>
      </w:r>
      <w:r w:rsidR="00667EE6" w:rsidRPr="00390B8E">
        <w:rPr>
          <w:color w:val="000000" w:themeColor="text1"/>
        </w:rPr>
        <w:t>-</w:t>
      </w:r>
      <w:r w:rsidR="006A1AED" w:rsidRPr="00390B8E">
        <w:rPr>
          <w:color w:val="000000" w:themeColor="text1"/>
        </w:rPr>
        <w:t xml:space="preserve">counting with any of the other elements of the </w:t>
      </w:r>
      <w:r w:rsidR="001E5624" w:rsidRPr="00390B8E">
        <w:rPr>
          <w:color w:val="000000" w:themeColor="text1"/>
        </w:rPr>
        <w:t>insurance</w:t>
      </w:r>
      <w:r w:rsidR="006A1AED" w:rsidRPr="00390B8E">
        <w:rPr>
          <w:color w:val="000000" w:themeColor="text1"/>
        </w:rPr>
        <w:t xml:space="preserve"> proposals.</w:t>
      </w:r>
    </w:p>
    <w:p w14:paraId="7D9C0C23" w14:textId="03EDBEAA" w:rsidR="004E6360" w:rsidRPr="00390B8E" w:rsidRDefault="00667EE6" w:rsidP="004E6360">
      <w:pPr>
        <w:pStyle w:val="BodytextRPC"/>
        <w:rPr>
          <w:rFonts w:eastAsia="Times New Roman"/>
          <w:color w:val="000000" w:themeColor="text1"/>
        </w:rPr>
      </w:pPr>
      <w:r w:rsidRPr="00390B8E">
        <w:rPr>
          <w:color w:val="000000" w:themeColor="text1"/>
        </w:rPr>
        <w:t>Given that the driver of these costs is climate change, increases can be expected to continue in future periods, which highlights the importance of ongoing consultation on</w:t>
      </w:r>
      <w:r w:rsidR="001E5624" w:rsidRPr="00390B8E">
        <w:rPr>
          <w:color w:val="000000" w:themeColor="text1"/>
        </w:rPr>
        <w:t xml:space="preserve"> how to best manage this issue, beyond the EDPR process itself.</w:t>
      </w:r>
    </w:p>
    <w:p w14:paraId="0106635D" w14:textId="353D34C8" w:rsidR="00460441" w:rsidRPr="00390B8E" w:rsidRDefault="00460441" w:rsidP="00460441">
      <w:pPr>
        <w:pStyle w:val="Heading2"/>
      </w:pPr>
      <w:bookmarkStart w:id="26" w:name="_Toc61341281"/>
      <w:r w:rsidRPr="00390B8E">
        <w:t>Opex</w:t>
      </w:r>
      <w:r w:rsidR="00FC27F9" w:rsidRPr="00390B8E">
        <w:t xml:space="preserve"> growth</w:t>
      </w:r>
      <w:r w:rsidRPr="00390B8E">
        <w:t xml:space="preserve"> trend</w:t>
      </w:r>
      <w:r w:rsidR="00FC27F9" w:rsidRPr="00390B8E">
        <w:t>s</w:t>
      </w:r>
      <w:bookmarkEnd w:id="26"/>
    </w:p>
    <w:p w14:paraId="1A36B808" w14:textId="1BB88403" w:rsidR="00424FDF" w:rsidRPr="00390B8E" w:rsidRDefault="006A1AED" w:rsidP="00460441">
      <w:pPr>
        <w:pStyle w:val="BodytextRPC"/>
        <w:rPr>
          <w:color w:val="000000" w:themeColor="text1"/>
        </w:rPr>
      </w:pPr>
      <w:r w:rsidRPr="00390B8E">
        <w:rPr>
          <w:noProof/>
          <w:color w:val="000000" w:themeColor="text1"/>
        </w:rPr>
        <mc:AlternateContent>
          <mc:Choice Requires="wps">
            <w:drawing>
              <wp:anchor distT="0" distB="0" distL="114300" distR="114300" simplePos="0" relativeHeight="251666445" behindDoc="0" locked="0" layoutInCell="1" allowOverlap="1" wp14:anchorId="6F250B43" wp14:editId="1DE966F9">
                <wp:simplePos x="0" y="0"/>
                <wp:positionH relativeFrom="column">
                  <wp:posOffset>-272415</wp:posOffset>
                </wp:positionH>
                <wp:positionV relativeFrom="paragraph">
                  <wp:posOffset>664845</wp:posOffset>
                </wp:positionV>
                <wp:extent cx="5715000" cy="1828800"/>
                <wp:effectExtent l="0" t="0" r="12700" b="11430"/>
                <wp:wrapSquare wrapText="bothSides"/>
                <wp:docPr id="10" name="Text Box 10"/>
                <wp:cNvGraphicFramePr/>
                <a:graphic xmlns:a="http://schemas.openxmlformats.org/drawingml/2006/main">
                  <a:graphicData uri="http://schemas.microsoft.com/office/word/2010/wordprocessingShape">
                    <wps:wsp>
                      <wps:cNvSpPr txBox="1"/>
                      <wps:spPr>
                        <a:xfrm>
                          <a:off x="0" y="0"/>
                          <a:ext cx="5715000" cy="1828800"/>
                        </a:xfrm>
                        <a:prstGeom prst="rect">
                          <a:avLst/>
                        </a:prstGeom>
                        <a:noFill/>
                        <a:ln w="6350">
                          <a:solidFill>
                            <a:prstClr val="black"/>
                          </a:solidFill>
                        </a:ln>
                      </wps:spPr>
                      <wps:txbx>
                        <w:txbxContent>
                          <w:p w14:paraId="4C853228" w14:textId="77777777" w:rsidR="000655E0" w:rsidRPr="00EE795A" w:rsidRDefault="000655E0" w:rsidP="00693D96">
                            <w:pPr>
                              <w:pStyle w:val="BodytextRPC"/>
                              <w:shd w:val="clear" w:color="auto" w:fill="000000" w:themeFill="text1"/>
                            </w:pPr>
                            <w:r w:rsidRPr="00EE795A">
                              <w:t>Key points:</w:t>
                            </w:r>
                          </w:p>
                          <w:p w14:paraId="639D225C" w14:textId="1B3BAB42" w:rsidR="000655E0" w:rsidRPr="00EE795A" w:rsidRDefault="000655E0" w:rsidP="000F32EE">
                            <w:pPr>
                              <w:pStyle w:val="BodytextRPC"/>
                              <w:numPr>
                                <w:ilvl w:val="0"/>
                                <w:numId w:val="17"/>
                              </w:numPr>
                              <w:ind w:left="426"/>
                            </w:pPr>
                            <w:r w:rsidRPr="00EE795A">
                              <w:t>Opex productivity is declining over time</w:t>
                            </w:r>
                            <w:r>
                              <w:t xml:space="preserve">. Distributors underspend their opex allowance in most years, and are awarded through incentive schemes. If opex were at an efficient level, the allowance would be expected to be exceeded more often. </w:t>
                            </w:r>
                            <w:r w:rsidRPr="00EE795A">
                              <w:t xml:space="preserve"> </w:t>
                            </w:r>
                          </w:p>
                          <w:p w14:paraId="0BBA7895" w14:textId="021AF572" w:rsidR="000655E0" w:rsidRDefault="000655E0" w:rsidP="000F32EE">
                            <w:pPr>
                              <w:pStyle w:val="BodytextRPC"/>
                              <w:numPr>
                                <w:ilvl w:val="0"/>
                                <w:numId w:val="17"/>
                              </w:numPr>
                              <w:ind w:left="426"/>
                            </w:pPr>
                            <w:r>
                              <w:t xml:space="preserve">Declining opex productivity over time suggest that both AusNet Services and Jemena’s base year is not competitively efficient, and an efficiency adjustment is appropriate for both networks. </w:t>
                            </w:r>
                          </w:p>
                          <w:p w14:paraId="4B2DCF33" w14:textId="08A3C0F2" w:rsidR="000655E0" w:rsidRPr="00EE795A" w:rsidRDefault="000655E0" w:rsidP="00EE795A">
                            <w:pPr>
                              <w:pStyle w:val="BodytextRPC"/>
                              <w:numPr>
                                <w:ilvl w:val="0"/>
                                <w:numId w:val="17"/>
                              </w:numPr>
                              <w:ind w:left="426"/>
                            </w:pPr>
                            <w:r w:rsidRPr="00EE795A">
                              <w:t xml:space="preserve">We support the AER’s decisions on opex growth trends, and </w:t>
                            </w:r>
                            <w:r>
                              <w:t>we advocate for the</w:t>
                            </w:r>
                            <w:r w:rsidRPr="00EE795A">
                              <w:t xml:space="preserve"> application of a consistent approach for the Victorian networks. </w:t>
                            </w:r>
                          </w:p>
                          <w:p w14:paraId="089848EB" w14:textId="3510FF62" w:rsidR="000655E0" w:rsidRPr="00EE795A" w:rsidRDefault="000655E0" w:rsidP="002D7A5F">
                            <w:pPr>
                              <w:pStyle w:val="BodytextRPC"/>
                              <w:numPr>
                                <w:ilvl w:val="0"/>
                                <w:numId w:val="17"/>
                              </w:numPr>
                              <w:ind w:left="426"/>
                            </w:pPr>
                            <w:r>
                              <w:t>We support the AER’s scrutiny of opex step changes, and the decisions imposed in the Draft Determination.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F250B43" id="Text Box 10" o:spid="_x0000_s1031" type="#_x0000_t202" style="position:absolute;margin-left:-21.45pt;margin-top:52.35pt;width:450pt;height:2in;z-index:2516664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" filled="f" strokeweight=".5pt">
                <v:textbox style="mso-fit-shape-to-text:t">
                  <w:txbxContent>
                    <w:p w14:paraId="4C853228" w14:textId="77777777" w:rsidR="000655E0" w:rsidRPr="00EE795A" w:rsidRDefault="000655E0" w:rsidP="00693D96">
                      <w:pPr>
                        <w:pStyle w:val="BodytextRPC"/>
                        <w:shd w:val="clear" w:color="auto" w:fill="000000" w:themeFill="text1"/>
                      </w:pPr>
                      <w:r w:rsidRPr="00EE795A">
                        <w:t>Key points:</w:t>
                      </w:r>
                    </w:p>
                    <w:p w14:paraId="639D225C" w14:textId="1B3BAB42" w:rsidR="000655E0" w:rsidRPr="00EE795A" w:rsidRDefault="000655E0" w:rsidP="000F32EE">
                      <w:pPr>
                        <w:pStyle w:val="BodytextRPC"/>
                        <w:numPr>
                          <w:ilvl w:val="0"/>
                          <w:numId w:val="17"/>
                        </w:numPr>
                        <w:ind w:left="426"/>
                      </w:pPr>
                      <w:r w:rsidRPr="00EE795A">
                        <w:t>Opex productivity is declining over time</w:t>
                      </w:r>
                      <w:r>
                        <w:t xml:space="preserve">. Distributors underspend their opex allowance in most years, and are awarded through incentive schemes. If opex were at an efficient level, the allowance would be expected to be exceeded more often. </w:t>
                      </w:r>
                      <w:r w:rsidRPr="00EE795A">
                        <w:t xml:space="preserve"> </w:t>
                      </w:r>
                    </w:p>
                    <w:p w14:paraId="0BBA7895" w14:textId="021AF572" w:rsidR="000655E0" w:rsidRDefault="000655E0" w:rsidP="000F32EE">
                      <w:pPr>
                        <w:pStyle w:val="BodytextRPC"/>
                        <w:numPr>
                          <w:ilvl w:val="0"/>
                          <w:numId w:val="17"/>
                        </w:numPr>
                        <w:ind w:left="426"/>
                      </w:pPr>
                      <w:r>
                        <w:t xml:space="preserve">Declining opex productivity over time suggest that both AusNet Services and Jemena’s base year is not competitively efficient, and an efficiency adjustment is appropriate for both networks. </w:t>
                      </w:r>
                    </w:p>
                    <w:p w14:paraId="4B2DCF33" w14:textId="08A3C0F2" w:rsidR="000655E0" w:rsidRPr="00EE795A" w:rsidRDefault="000655E0" w:rsidP="00EE795A">
                      <w:pPr>
                        <w:pStyle w:val="BodytextRPC"/>
                        <w:numPr>
                          <w:ilvl w:val="0"/>
                          <w:numId w:val="17"/>
                        </w:numPr>
                        <w:ind w:left="426"/>
                      </w:pPr>
                      <w:r w:rsidRPr="00EE795A">
                        <w:t xml:space="preserve">We support the AER’s decisions on opex growth trends, and </w:t>
                      </w:r>
                      <w:r>
                        <w:t>we advocate for the</w:t>
                      </w:r>
                      <w:r w:rsidRPr="00EE795A">
                        <w:t xml:space="preserve"> application of a consistent approach for the Victorian networks. </w:t>
                      </w:r>
                    </w:p>
                    <w:p w14:paraId="089848EB" w14:textId="3510FF62" w:rsidR="000655E0" w:rsidRPr="00EE795A" w:rsidRDefault="000655E0" w:rsidP="002D7A5F">
                      <w:pPr>
                        <w:pStyle w:val="BodytextRPC"/>
                        <w:numPr>
                          <w:ilvl w:val="0"/>
                          <w:numId w:val="17"/>
                        </w:numPr>
                        <w:ind w:left="426"/>
                      </w:pPr>
                      <w:r>
                        <w:t>We support the AER’s scrutiny of opex step changes, and the decisions imposed in the Draft Determination.</w:t>
                      </w:r>
                    </w:p>
                  </w:txbxContent>
                </v:textbox>
                <w10:wrap type="square"/>
              </v:shape>
            </w:pict>
          </mc:Fallback>
        </mc:AlternateContent>
      </w:r>
      <w:r w:rsidR="007D2481" w:rsidRPr="00390B8E">
        <w:rPr>
          <w:color w:val="000000" w:themeColor="text1"/>
        </w:rPr>
        <w:t>We support the AER’s decision</w:t>
      </w:r>
      <w:r w:rsidR="002D7A5F" w:rsidRPr="00390B8E">
        <w:rPr>
          <w:color w:val="000000" w:themeColor="text1"/>
        </w:rPr>
        <w:t>s</w:t>
      </w:r>
      <w:r w:rsidR="007D2481" w:rsidRPr="00390B8E">
        <w:rPr>
          <w:color w:val="000000" w:themeColor="text1"/>
        </w:rPr>
        <w:t xml:space="preserve"> </w:t>
      </w:r>
      <w:r w:rsidR="002D7A5F" w:rsidRPr="00390B8E">
        <w:rPr>
          <w:color w:val="000000" w:themeColor="text1"/>
        </w:rPr>
        <w:t xml:space="preserve">on opex growth trends, and the application of </w:t>
      </w:r>
      <w:r w:rsidR="00424FDF" w:rsidRPr="00390B8E">
        <w:rPr>
          <w:color w:val="000000" w:themeColor="text1"/>
        </w:rPr>
        <w:t xml:space="preserve">a consistent approach for the Victorian networks. </w:t>
      </w:r>
    </w:p>
    <w:p w14:paraId="5507897F" w14:textId="68221A4E" w:rsidR="00693D96" w:rsidRPr="00390B8E" w:rsidRDefault="00F4556F" w:rsidP="00F4556F">
      <w:pPr>
        <w:pStyle w:val="BodytextRPC"/>
        <w:rPr>
          <w:color w:val="000000" w:themeColor="text1"/>
        </w:rPr>
      </w:pPr>
      <w:r w:rsidRPr="00390B8E">
        <w:rPr>
          <w:color w:val="000000" w:themeColor="text1"/>
        </w:rPr>
        <w:t xml:space="preserve"> </w:t>
      </w:r>
    </w:p>
    <w:p w14:paraId="39EC4A74" w14:textId="22875334" w:rsidR="00D1096F" w:rsidRPr="00390B8E" w:rsidRDefault="00EF4CDF" w:rsidP="00573251">
      <w:pPr>
        <w:pStyle w:val="Heading1"/>
        <w:numPr>
          <w:ilvl w:val="0"/>
          <w:numId w:val="11"/>
        </w:numPr>
        <w:rPr>
          <w:rFonts w:asciiTheme="minorHAnsi" w:hAnsiTheme="minorHAnsi" w:cstheme="minorHAnsi"/>
        </w:rPr>
      </w:pPr>
      <w:bookmarkStart w:id="27" w:name="_Toc41557694"/>
      <w:bookmarkStart w:id="28" w:name="_Toc41557695"/>
      <w:bookmarkStart w:id="29" w:name="_Toc38283924"/>
      <w:bookmarkStart w:id="30" w:name="_Toc61341282"/>
      <w:bookmarkEnd w:id="27"/>
      <w:bookmarkEnd w:id="28"/>
      <w:r w:rsidRPr="00390B8E">
        <w:rPr>
          <w:rFonts w:asciiTheme="minorHAnsi" w:hAnsiTheme="minorHAnsi" w:cstheme="minorHAnsi"/>
        </w:rPr>
        <w:t xml:space="preserve">Capital </w:t>
      </w:r>
      <w:r w:rsidR="00383766" w:rsidRPr="00390B8E">
        <w:rPr>
          <w:rFonts w:asciiTheme="minorHAnsi" w:hAnsiTheme="minorHAnsi" w:cstheme="minorHAnsi"/>
        </w:rPr>
        <w:t>e</w:t>
      </w:r>
      <w:r w:rsidRPr="00390B8E">
        <w:rPr>
          <w:rFonts w:asciiTheme="minorHAnsi" w:hAnsiTheme="minorHAnsi" w:cstheme="minorHAnsi"/>
        </w:rPr>
        <w:t>xpenditure</w:t>
      </w:r>
      <w:bookmarkEnd w:id="30"/>
    </w:p>
    <w:p w14:paraId="316C99B8" w14:textId="1BE734A9" w:rsidR="00275EB2" w:rsidRPr="00390B8E" w:rsidRDefault="00275EB2" w:rsidP="00275EB2">
      <w:pPr>
        <w:pStyle w:val="Heading2"/>
      </w:pPr>
      <w:bookmarkStart w:id="31" w:name="_Toc61341283"/>
      <w:r w:rsidRPr="00390B8E">
        <w:t>Overview</w:t>
      </w:r>
      <w:bookmarkEnd w:id="31"/>
    </w:p>
    <w:p w14:paraId="0D1E61FA" w14:textId="71A327C6" w:rsidR="00275EB2" w:rsidRPr="00390B8E" w:rsidRDefault="00275EB2" w:rsidP="00275EB2">
      <w:pPr>
        <w:pStyle w:val="BodytextRPC"/>
        <w:rPr>
          <w:color w:val="000000" w:themeColor="text1"/>
        </w:rPr>
      </w:pPr>
      <w:r w:rsidRPr="00390B8E">
        <w:rPr>
          <w:color w:val="000000" w:themeColor="text1"/>
        </w:rPr>
        <w:t xml:space="preserve">The </w:t>
      </w:r>
      <w:r w:rsidR="007A70CF" w:rsidRPr="00390B8E">
        <w:rPr>
          <w:color w:val="000000" w:themeColor="text1"/>
        </w:rPr>
        <w:t>Draft Determination</w:t>
      </w:r>
      <w:r w:rsidRPr="00390B8E">
        <w:rPr>
          <w:color w:val="000000" w:themeColor="text1"/>
        </w:rPr>
        <w:t xml:space="preserve"> reduced </w:t>
      </w:r>
      <w:r w:rsidR="00B46557" w:rsidRPr="00390B8E">
        <w:rPr>
          <w:color w:val="000000" w:themeColor="text1"/>
        </w:rPr>
        <w:t>AusNet</w:t>
      </w:r>
      <w:r w:rsidR="004B088D" w:rsidRPr="00390B8E">
        <w:rPr>
          <w:color w:val="000000" w:themeColor="text1"/>
        </w:rPr>
        <w:t xml:space="preserve"> Services</w:t>
      </w:r>
      <w:r w:rsidRPr="00390B8E">
        <w:rPr>
          <w:color w:val="000000" w:themeColor="text1"/>
        </w:rPr>
        <w:t xml:space="preserve"> and Jemena’s proposed capex by 4.4% and 4% respectively, as an adjustment to address the changed context post COVID-19. </w:t>
      </w:r>
      <w:r w:rsidR="00AA417B" w:rsidRPr="00390B8E">
        <w:rPr>
          <w:color w:val="000000" w:themeColor="text1"/>
        </w:rPr>
        <w:t xml:space="preserve">The Draft </w:t>
      </w:r>
      <w:r w:rsidR="007A70CF" w:rsidRPr="00390B8E">
        <w:rPr>
          <w:color w:val="000000" w:themeColor="text1"/>
        </w:rPr>
        <w:t>deemed</w:t>
      </w:r>
      <w:r w:rsidR="00AA417B" w:rsidRPr="00390B8E">
        <w:rPr>
          <w:color w:val="000000" w:themeColor="text1"/>
        </w:rPr>
        <w:t xml:space="preserve"> CPPALUE propos</w:t>
      </w:r>
      <w:r w:rsidR="007A70CF" w:rsidRPr="00390B8E">
        <w:rPr>
          <w:color w:val="000000" w:themeColor="text1"/>
        </w:rPr>
        <w:t>ed capex</w:t>
      </w:r>
      <w:r w:rsidR="00AA417B" w:rsidRPr="00390B8E">
        <w:rPr>
          <w:color w:val="000000" w:themeColor="text1"/>
        </w:rPr>
        <w:t xml:space="preserve"> </w:t>
      </w:r>
      <w:r w:rsidR="00CE5901" w:rsidRPr="00390B8E">
        <w:rPr>
          <w:color w:val="000000" w:themeColor="text1"/>
        </w:rPr>
        <w:t xml:space="preserve">not </w:t>
      </w:r>
      <w:r w:rsidR="00AA417B" w:rsidRPr="00390B8E">
        <w:rPr>
          <w:color w:val="000000" w:themeColor="text1"/>
        </w:rPr>
        <w:t xml:space="preserve">capable of acceptance, and </w:t>
      </w:r>
      <w:r w:rsidR="00CE5901" w:rsidRPr="00390B8E">
        <w:rPr>
          <w:color w:val="000000" w:themeColor="text1"/>
        </w:rPr>
        <w:t xml:space="preserve">put forward capex </w:t>
      </w:r>
      <w:r w:rsidR="00AA417B" w:rsidRPr="00390B8E">
        <w:rPr>
          <w:color w:val="000000" w:themeColor="text1"/>
        </w:rPr>
        <w:t xml:space="preserve">determinations that were </w:t>
      </w:r>
      <w:r w:rsidR="00BA1634" w:rsidRPr="00390B8E">
        <w:rPr>
          <w:color w:val="000000" w:themeColor="text1"/>
        </w:rPr>
        <w:t>26-27% lower than their proposals.</w:t>
      </w:r>
    </w:p>
    <w:p w14:paraId="1560C0D2" w14:textId="55D0100C" w:rsidR="004B088D" w:rsidRPr="00390B8E" w:rsidRDefault="00B46557" w:rsidP="00275EB2">
      <w:pPr>
        <w:pStyle w:val="BodytextRPC"/>
        <w:rPr>
          <w:color w:val="000000" w:themeColor="text1"/>
        </w:rPr>
      </w:pPr>
      <w:r w:rsidRPr="00390B8E">
        <w:rPr>
          <w:color w:val="000000" w:themeColor="text1"/>
        </w:rPr>
        <w:lastRenderedPageBreak/>
        <w:t>AusNet</w:t>
      </w:r>
      <w:r w:rsidR="00CE5901" w:rsidRPr="00390B8E">
        <w:rPr>
          <w:color w:val="000000" w:themeColor="text1"/>
        </w:rPr>
        <w:t xml:space="preserve"> Services’ and Jemena’s revised capex proposals are close to their initial claims. </w:t>
      </w:r>
      <w:r w:rsidRPr="00390B8E">
        <w:rPr>
          <w:color w:val="000000" w:themeColor="text1"/>
        </w:rPr>
        <w:t>AusNet</w:t>
      </w:r>
      <w:r w:rsidR="004B088D" w:rsidRPr="00390B8E">
        <w:rPr>
          <w:color w:val="000000" w:themeColor="text1"/>
        </w:rPr>
        <w:t xml:space="preserve"> Services’ revised proposal includes a claim for a 13.7% increase on connections, and a 4.1% increase on </w:t>
      </w:r>
      <w:proofErr w:type="spellStart"/>
      <w:r w:rsidR="004B088D" w:rsidRPr="00390B8E">
        <w:rPr>
          <w:color w:val="000000" w:themeColor="text1"/>
        </w:rPr>
        <w:t>augex</w:t>
      </w:r>
      <w:proofErr w:type="spellEnd"/>
      <w:r w:rsidR="004B088D" w:rsidRPr="00390B8E">
        <w:rPr>
          <w:color w:val="000000" w:themeColor="text1"/>
        </w:rPr>
        <w:t>.</w:t>
      </w:r>
      <w:r w:rsidR="00CE5901" w:rsidRPr="00390B8E">
        <w:rPr>
          <w:color w:val="000000" w:themeColor="text1"/>
        </w:rPr>
        <w:t xml:space="preserve"> </w:t>
      </w:r>
      <w:r w:rsidR="004B088D" w:rsidRPr="00390B8E">
        <w:rPr>
          <w:color w:val="000000" w:themeColor="text1"/>
        </w:rPr>
        <w:t>Jemena’s challenge</w:t>
      </w:r>
      <w:r w:rsidR="00CE5901" w:rsidRPr="00390B8E">
        <w:rPr>
          <w:color w:val="000000" w:themeColor="text1"/>
        </w:rPr>
        <w:t>s</w:t>
      </w:r>
      <w:r w:rsidR="004B088D" w:rsidRPr="00390B8E">
        <w:rPr>
          <w:color w:val="000000" w:themeColor="text1"/>
        </w:rPr>
        <w:t xml:space="preserve"> the decision on </w:t>
      </w:r>
      <w:proofErr w:type="spellStart"/>
      <w:r w:rsidR="004B088D" w:rsidRPr="00390B8E">
        <w:rPr>
          <w:color w:val="000000" w:themeColor="text1"/>
        </w:rPr>
        <w:t>repex</w:t>
      </w:r>
      <w:proofErr w:type="spellEnd"/>
      <w:r w:rsidR="004B088D" w:rsidRPr="00390B8E">
        <w:rPr>
          <w:color w:val="000000" w:themeColor="text1"/>
        </w:rPr>
        <w:t xml:space="preserve"> and </w:t>
      </w:r>
      <w:proofErr w:type="spellStart"/>
      <w:r w:rsidR="004B088D" w:rsidRPr="00390B8E">
        <w:rPr>
          <w:color w:val="000000" w:themeColor="text1"/>
        </w:rPr>
        <w:t>augex</w:t>
      </w:r>
      <w:proofErr w:type="spellEnd"/>
      <w:r w:rsidR="004B088D" w:rsidRPr="00390B8E">
        <w:rPr>
          <w:color w:val="000000" w:themeColor="text1"/>
        </w:rPr>
        <w:t>, and increased non-network and DER claims</w:t>
      </w:r>
      <w:r w:rsidR="00CE5901" w:rsidRPr="00390B8E">
        <w:rPr>
          <w:color w:val="000000" w:themeColor="text1"/>
        </w:rPr>
        <w:t>.</w:t>
      </w:r>
    </w:p>
    <w:p w14:paraId="78F81962" w14:textId="10BE28FF" w:rsidR="00BB7909" w:rsidRPr="00390B8E" w:rsidRDefault="00D63876" w:rsidP="00275EB2">
      <w:pPr>
        <w:pStyle w:val="BodytextRPC"/>
        <w:rPr>
          <w:color w:val="000000" w:themeColor="text1"/>
        </w:rPr>
      </w:pPr>
      <w:r w:rsidRPr="00390B8E">
        <w:rPr>
          <w:color w:val="000000" w:themeColor="text1"/>
        </w:rPr>
        <w:t>The CPPALUE networks have challenged</w:t>
      </w:r>
      <w:r w:rsidR="00CE5901" w:rsidRPr="00390B8E">
        <w:rPr>
          <w:color w:val="000000" w:themeColor="text1"/>
        </w:rPr>
        <w:t xml:space="preserve"> aspects of</w:t>
      </w:r>
      <w:r w:rsidRPr="00390B8E">
        <w:rPr>
          <w:color w:val="000000" w:themeColor="text1"/>
        </w:rPr>
        <w:t xml:space="preserve"> the Draft Determinations</w:t>
      </w:r>
      <w:r w:rsidR="00CE5901" w:rsidRPr="00390B8E">
        <w:rPr>
          <w:color w:val="000000" w:themeColor="text1"/>
        </w:rPr>
        <w:t xml:space="preserve">, with revised </w:t>
      </w:r>
      <w:proofErr w:type="spellStart"/>
      <w:r w:rsidRPr="00390B8E">
        <w:rPr>
          <w:color w:val="000000" w:themeColor="text1"/>
        </w:rPr>
        <w:t>repex</w:t>
      </w:r>
      <w:proofErr w:type="spellEnd"/>
      <w:r w:rsidRPr="00390B8E">
        <w:rPr>
          <w:color w:val="000000" w:themeColor="text1"/>
        </w:rPr>
        <w:t xml:space="preserve"> </w:t>
      </w:r>
      <w:r w:rsidR="00CE5901" w:rsidRPr="00390B8E">
        <w:rPr>
          <w:color w:val="000000" w:themeColor="text1"/>
        </w:rPr>
        <w:t>proposals</w:t>
      </w:r>
      <w:r w:rsidRPr="00390B8E">
        <w:rPr>
          <w:color w:val="000000" w:themeColor="text1"/>
        </w:rPr>
        <w:t xml:space="preserve">, </w:t>
      </w:r>
      <w:r w:rsidR="00CE5901" w:rsidRPr="00390B8E">
        <w:rPr>
          <w:color w:val="000000" w:themeColor="text1"/>
        </w:rPr>
        <w:t>and</w:t>
      </w:r>
      <w:r w:rsidRPr="00390B8E">
        <w:rPr>
          <w:color w:val="000000" w:themeColor="text1"/>
        </w:rPr>
        <w:t xml:space="preserve"> a higher claim for connections capex than the initial proposal.  Their </w:t>
      </w:r>
      <w:proofErr w:type="spellStart"/>
      <w:r w:rsidRPr="00390B8E">
        <w:rPr>
          <w:color w:val="000000" w:themeColor="text1"/>
        </w:rPr>
        <w:t>augex</w:t>
      </w:r>
      <w:proofErr w:type="spellEnd"/>
      <w:r w:rsidRPr="00390B8E">
        <w:rPr>
          <w:color w:val="000000" w:themeColor="text1"/>
        </w:rPr>
        <w:t xml:space="preserve"> claim is slightly </w:t>
      </w:r>
      <w:r w:rsidR="00EF0FE4" w:rsidRPr="00390B8E">
        <w:rPr>
          <w:color w:val="000000" w:themeColor="text1"/>
        </w:rPr>
        <w:t>increased from the</w:t>
      </w:r>
      <w:r w:rsidRPr="00390B8E">
        <w:rPr>
          <w:color w:val="000000" w:themeColor="text1"/>
        </w:rPr>
        <w:t xml:space="preserve"> </w:t>
      </w:r>
      <w:r w:rsidR="00EF0FE4" w:rsidRPr="00390B8E">
        <w:rPr>
          <w:color w:val="000000" w:themeColor="text1"/>
        </w:rPr>
        <w:t>D</w:t>
      </w:r>
      <w:r w:rsidRPr="00390B8E">
        <w:rPr>
          <w:color w:val="000000" w:themeColor="text1"/>
        </w:rPr>
        <w:t xml:space="preserve">raft </w:t>
      </w:r>
      <w:r w:rsidR="00EF0FE4" w:rsidRPr="00390B8E">
        <w:rPr>
          <w:color w:val="000000" w:themeColor="text1"/>
        </w:rPr>
        <w:t>D</w:t>
      </w:r>
      <w:r w:rsidRPr="00390B8E">
        <w:rPr>
          <w:color w:val="000000" w:themeColor="text1"/>
        </w:rPr>
        <w:t>etermination.</w:t>
      </w:r>
    </w:p>
    <w:p w14:paraId="61E94483" w14:textId="691F5A48" w:rsidR="001C1BE4" w:rsidRPr="00390B8E" w:rsidRDefault="001C1BE4" w:rsidP="00D353B2">
      <w:pPr>
        <w:pStyle w:val="Heading2"/>
        <w:numPr>
          <w:ilvl w:val="0"/>
          <w:numId w:val="0"/>
        </w:numPr>
      </w:pPr>
      <w:bookmarkStart w:id="32" w:name="_Toc61341284"/>
      <w:r w:rsidRPr="00390B8E">
        <w:t>Capex analysis</w:t>
      </w:r>
      <w:bookmarkEnd w:id="32"/>
    </w:p>
    <w:p w14:paraId="62220348" w14:textId="7EB35699" w:rsidR="001C1BE4" w:rsidRPr="00390B8E" w:rsidRDefault="00EF0FE4" w:rsidP="001C1BE4">
      <w:pPr>
        <w:pStyle w:val="BodytextRPC"/>
        <w:keepNext/>
        <w:rPr>
          <w:color w:val="000000" w:themeColor="text1"/>
        </w:rPr>
      </w:pPr>
      <w:r w:rsidRPr="00390B8E">
        <w:rPr>
          <w:color w:val="000000" w:themeColor="text1"/>
        </w:rPr>
        <w:t xml:space="preserve">The attached analysis from </w:t>
      </w:r>
      <w:proofErr w:type="spellStart"/>
      <w:r w:rsidRPr="00390B8E">
        <w:rPr>
          <w:color w:val="000000" w:themeColor="text1"/>
        </w:rPr>
        <w:t>Headberry</w:t>
      </w:r>
      <w:proofErr w:type="spellEnd"/>
      <w:r w:rsidRPr="00390B8E">
        <w:rPr>
          <w:color w:val="000000" w:themeColor="text1"/>
        </w:rPr>
        <w:t xml:space="preserve"> Partners </w:t>
      </w:r>
      <w:r w:rsidR="00D353B2" w:rsidRPr="00390B8E">
        <w:rPr>
          <w:color w:val="000000" w:themeColor="text1"/>
        </w:rPr>
        <w:t>indicates</w:t>
      </w:r>
      <w:r w:rsidR="00F46A07" w:rsidRPr="00390B8E">
        <w:rPr>
          <w:color w:val="000000" w:themeColor="text1"/>
        </w:rPr>
        <w:t xml:space="preserve"> that</w:t>
      </w:r>
      <w:r w:rsidR="0037038E" w:rsidRPr="00390B8E">
        <w:rPr>
          <w:color w:val="000000" w:themeColor="text1"/>
        </w:rPr>
        <w:t xml:space="preserve"> the networks’</w:t>
      </w:r>
      <w:r w:rsidR="00F46A07" w:rsidRPr="00390B8E">
        <w:rPr>
          <w:color w:val="000000" w:themeColor="text1"/>
        </w:rPr>
        <w:t xml:space="preserve"> revised capex proposals </w:t>
      </w:r>
      <w:r w:rsidR="00D353B2" w:rsidRPr="00390B8E">
        <w:rPr>
          <w:color w:val="000000" w:themeColor="text1"/>
        </w:rPr>
        <w:t xml:space="preserve">are likely to </w:t>
      </w:r>
      <w:r w:rsidR="00521452" w:rsidRPr="00390B8E">
        <w:rPr>
          <w:color w:val="000000" w:themeColor="text1"/>
        </w:rPr>
        <w:t>exceed requirements.</w:t>
      </w:r>
    </w:p>
    <w:p w14:paraId="0D7410B0" w14:textId="3DA83D20" w:rsidR="00D353B2" w:rsidRPr="00390B8E" w:rsidRDefault="00D32984" w:rsidP="00960BE3">
      <w:pPr>
        <w:pStyle w:val="BodytextRPC"/>
        <w:keepNext/>
        <w:tabs>
          <w:tab w:val="left" w:pos="993"/>
        </w:tabs>
        <w:rPr>
          <w:color w:val="000000" w:themeColor="text1"/>
        </w:rPr>
      </w:pPr>
      <w:r w:rsidRPr="00390B8E">
        <w:rPr>
          <w:color w:val="000000" w:themeColor="text1"/>
        </w:rPr>
        <w:t xml:space="preserve">The analysis highlights the following trends, which together </w:t>
      </w:r>
      <w:r w:rsidR="00DD5EC6" w:rsidRPr="00390B8E">
        <w:rPr>
          <w:color w:val="000000" w:themeColor="text1"/>
        </w:rPr>
        <w:t>indicate that the capex claims are too high:</w:t>
      </w:r>
    </w:p>
    <w:p w14:paraId="2FE921D1" w14:textId="0E5A72DE" w:rsidR="00D77B76" w:rsidRPr="00390B8E" w:rsidRDefault="00D77B76" w:rsidP="00D77B76">
      <w:pPr>
        <w:pStyle w:val="BodytextRPC"/>
        <w:keepNext/>
        <w:numPr>
          <w:ilvl w:val="0"/>
          <w:numId w:val="19"/>
        </w:numPr>
        <w:ind w:left="709"/>
        <w:rPr>
          <w:color w:val="000000" w:themeColor="text1"/>
        </w:rPr>
      </w:pPr>
      <w:r w:rsidRPr="00390B8E">
        <w:rPr>
          <w:color w:val="000000" w:themeColor="text1"/>
        </w:rPr>
        <w:t>Distributors are proposing to increase capex in the next period compared to the actual spend in this period, despite declining productivity,</w:t>
      </w:r>
    </w:p>
    <w:p w14:paraId="7A3DCB3D" w14:textId="52B8321C" w:rsidR="00DD5EC6" w:rsidRPr="00390B8E" w:rsidRDefault="00DD5EC6" w:rsidP="00D77B76">
      <w:pPr>
        <w:pStyle w:val="BodytextRPC"/>
        <w:keepNext/>
        <w:numPr>
          <w:ilvl w:val="0"/>
          <w:numId w:val="19"/>
        </w:numPr>
        <w:ind w:left="709"/>
        <w:rPr>
          <w:color w:val="000000" w:themeColor="text1"/>
        </w:rPr>
      </w:pPr>
      <w:r w:rsidRPr="00390B8E">
        <w:rPr>
          <w:color w:val="000000" w:themeColor="text1"/>
        </w:rPr>
        <w:t xml:space="preserve">SAIDI and SAIFI continue to improve in 2019, accompanied by increasing capex productivity decline for most networks (Figure </w:t>
      </w:r>
      <w:r w:rsidR="001A0BAC" w:rsidRPr="00390B8E">
        <w:rPr>
          <w:color w:val="000000" w:themeColor="text1"/>
        </w:rPr>
        <w:t>11</w:t>
      </w:r>
      <w:r w:rsidRPr="00390B8E">
        <w:rPr>
          <w:color w:val="000000" w:themeColor="text1"/>
        </w:rPr>
        <w:t>).</w:t>
      </w:r>
    </w:p>
    <w:p w14:paraId="284A8B00" w14:textId="0FA55890" w:rsidR="00DD5EC6" w:rsidRPr="00390B8E" w:rsidRDefault="00D77B76" w:rsidP="00D77B76">
      <w:pPr>
        <w:pStyle w:val="BodytextRPC"/>
        <w:keepNext/>
        <w:numPr>
          <w:ilvl w:val="0"/>
          <w:numId w:val="19"/>
        </w:numPr>
        <w:ind w:left="709"/>
        <w:rPr>
          <w:color w:val="000000" w:themeColor="text1"/>
        </w:rPr>
      </w:pPr>
      <w:r w:rsidRPr="00390B8E">
        <w:rPr>
          <w:color w:val="000000" w:themeColor="text1"/>
        </w:rPr>
        <w:t>A</w:t>
      </w:r>
      <w:r w:rsidR="00DD5EC6" w:rsidRPr="00390B8E">
        <w:rPr>
          <w:color w:val="000000" w:themeColor="text1"/>
        </w:rPr>
        <w:t xml:space="preserve"> diminishing return </w:t>
      </w:r>
      <w:r w:rsidR="001E5624" w:rsidRPr="00390B8E">
        <w:rPr>
          <w:color w:val="000000" w:themeColor="text1"/>
        </w:rPr>
        <w:t>for improved</w:t>
      </w:r>
      <w:r w:rsidR="00DD5EC6" w:rsidRPr="00390B8E">
        <w:rPr>
          <w:color w:val="000000" w:themeColor="text1"/>
        </w:rPr>
        <w:t xml:space="preserve"> </w:t>
      </w:r>
      <w:r w:rsidR="00667EE6" w:rsidRPr="00390B8E">
        <w:rPr>
          <w:color w:val="000000" w:themeColor="text1"/>
        </w:rPr>
        <w:t>reliability is evident</w:t>
      </w:r>
      <w:r w:rsidR="00DD5EC6" w:rsidRPr="00390B8E">
        <w:rPr>
          <w:color w:val="000000" w:themeColor="text1"/>
        </w:rPr>
        <w:t xml:space="preserve"> for </w:t>
      </w:r>
      <w:r w:rsidR="00667EE6" w:rsidRPr="00390B8E">
        <w:rPr>
          <w:color w:val="000000" w:themeColor="text1"/>
        </w:rPr>
        <w:t>the increasing</w:t>
      </w:r>
      <w:r w:rsidR="00DD5EC6" w:rsidRPr="00390B8E">
        <w:rPr>
          <w:color w:val="000000" w:themeColor="text1"/>
        </w:rPr>
        <w:t xml:space="preserve"> investment in the RAB</w:t>
      </w:r>
      <w:r w:rsidRPr="00390B8E">
        <w:rPr>
          <w:color w:val="000000" w:themeColor="text1"/>
        </w:rPr>
        <w:t>.</w:t>
      </w:r>
      <w:r w:rsidR="00DD5EC6" w:rsidRPr="00390B8E">
        <w:rPr>
          <w:color w:val="000000" w:themeColor="text1"/>
        </w:rPr>
        <w:t xml:space="preserve"> </w:t>
      </w:r>
      <w:r w:rsidRPr="00390B8E">
        <w:rPr>
          <w:color w:val="000000" w:themeColor="text1"/>
        </w:rPr>
        <w:t>A</w:t>
      </w:r>
      <w:r w:rsidR="00DD5EC6" w:rsidRPr="00390B8E">
        <w:rPr>
          <w:color w:val="000000" w:themeColor="text1"/>
        </w:rPr>
        <w:t>t the same time</w:t>
      </w:r>
      <w:r w:rsidRPr="00390B8E">
        <w:rPr>
          <w:color w:val="000000" w:themeColor="text1"/>
        </w:rPr>
        <w:t xml:space="preserve">, </w:t>
      </w:r>
      <w:r w:rsidR="00DD5EC6" w:rsidRPr="00390B8E">
        <w:rPr>
          <w:color w:val="000000" w:themeColor="text1"/>
        </w:rPr>
        <w:t xml:space="preserve">the fall in </w:t>
      </w:r>
      <w:r w:rsidR="00667EE6" w:rsidRPr="00390B8E">
        <w:rPr>
          <w:color w:val="000000" w:themeColor="text1"/>
        </w:rPr>
        <w:t>asset-</w:t>
      </w:r>
      <w:r w:rsidR="00DD5EC6" w:rsidRPr="00390B8E">
        <w:rPr>
          <w:color w:val="000000" w:themeColor="text1"/>
        </w:rPr>
        <w:t xml:space="preserve">utilisation </w:t>
      </w:r>
      <w:r w:rsidRPr="00390B8E">
        <w:rPr>
          <w:color w:val="000000" w:themeColor="text1"/>
        </w:rPr>
        <w:t xml:space="preserve">is </w:t>
      </w:r>
      <w:r w:rsidR="001E5624" w:rsidRPr="00390B8E">
        <w:rPr>
          <w:color w:val="000000" w:themeColor="text1"/>
        </w:rPr>
        <w:t>accelerating</w:t>
      </w:r>
      <w:r w:rsidR="00DD5EC6" w:rsidRPr="00390B8E">
        <w:rPr>
          <w:color w:val="000000" w:themeColor="text1"/>
        </w:rPr>
        <w:t xml:space="preserve"> (Figures 9 and 10).</w:t>
      </w:r>
    </w:p>
    <w:p w14:paraId="0AA492E6" w14:textId="11C1C53D" w:rsidR="00DD5EC6" w:rsidRPr="00390B8E" w:rsidRDefault="00DD5EC6" w:rsidP="00D77B76">
      <w:pPr>
        <w:pStyle w:val="BodytextRPC"/>
        <w:keepNext/>
        <w:numPr>
          <w:ilvl w:val="0"/>
          <w:numId w:val="19"/>
        </w:numPr>
        <w:ind w:left="709"/>
        <w:rPr>
          <w:color w:val="000000" w:themeColor="text1"/>
        </w:rPr>
      </w:pPr>
      <w:r w:rsidRPr="00390B8E">
        <w:rPr>
          <w:color w:val="000000" w:themeColor="text1"/>
        </w:rPr>
        <w:t>The value of the RAB</w:t>
      </w:r>
      <w:r w:rsidR="00667EE6" w:rsidRPr="00390B8E">
        <w:rPr>
          <w:color w:val="000000" w:themeColor="text1"/>
        </w:rPr>
        <w:t xml:space="preserve"> </w:t>
      </w:r>
      <w:r w:rsidRPr="00390B8E">
        <w:rPr>
          <w:color w:val="000000" w:themeColor="text1"/>
        </w:rPr>
        <w:t>relative</w:t>
      </w:r>
      <w:r w:rsidR="00667EE6" w:rsidRPr="00390B8E">
        <w:rPr>
          <w:color w:val="000000" w:themeColor="text1"/>
        </w:rPr>
        <w:t xml:space="preserve"> </w:t>
      </w:r>
      <w:r w:rsidRPr="00390B8E">
        <w:rPr>
          <w:color w:val="000000" w:themeColor="text1"/>
        </w:rPr>
        <w:t>to</w:t>
      </w:r>
      <w:r w:rsidR="00667EE6" w:rsidRPr="00390B8E">
        <w:rPr>
          <w:color w:val="000000" w:themeColor="text1"/>
        </w:rPr>
        <w:t xml:space="preserve"> </w:t>
      </w:r>
      <w:r w:rsidRPr="00390B8E">
        <w:rPr>
          <w:color w:val="000000" w:themeColor="text1"/>
        </w:rPr>
        <w:t xml:space="preserve">peak-demand was higher in 2019 than forecasted </w:t>
      </w:r>
      <w:r w:rsidR="00906DBC" w:rsidRPr="00390B8E">
        <w:rPr>
          <w:color w:val="000000" w:themeColor="text1"/>
        </w:rPr>
        <w:t>(</w:t>
      </w:r>
      <w:r w:rsidRPr="00390B8E">
        <w:rPr>
          <w:color w:val="000000" w:themeColor="text1"/>
        </w:rPr>
        <w:t>s</w:t>
      </w:r>
      <w:r w:rsidR="00906DBC" w:rsidRPr="00390B8E">
        <w:rPr>
          <w:color w:val="000000" w:themeColor="text1"/>
        </w:rPr>
        <w:t>ee Figure 8)</w:t>
      </w:r>
      <w:r w:rsidRPr="00390B8E">
        <w:rPr>
          <w:color w:val="000000" w:themeColor="text1"/>
        </w:rPr>
        <w:t>, supporting the argument that</w:t>
      </w:r>
      <w:r w:rsidR="00667EE6" w:rsidRPr="00390B8E">
        <w:rPr>
          <w:color w:val="000000" w:themeColor="text1"/>
        </w:rPr>
        <w:t xml:space="preserve"> near and mid</w:t>
      </w:r>
      <w:r w:rsidR="001E5624" w:rsidRPr="00390B8E">
        <w:rPr>
          <w:color w:val="000000" w:themeColor="text1"/>
        </w:rPr>
        <w:t>-</w:t>
      </w:r>
      <w:r w:rsidR="00667EE6" w:rsidRPr="00390B8E">
        <w:rPr>
          <w:color w:val="000000" w:themeColor="text1"/>
        </w:rPr>
        <w:t>term</w:t>
      </w:r>
      <w:r w:rsidRPr="00390B8E">
        <w:rPr>
          <w:color w:val="000000" w:themeColor="text1"/>
        </w:rPr>
        <w:t xml:space="preserve"> demand forecasts are likely to be overstated.</w:t>
      </w:r>
    </w:p>
    <w:p w14:paraId="2DCE5EA7" w14:textId="59AC98FF" w:rsidR="003C0D9F" w:rsidRPr="00390B8E" w:rsidRDefault="00811A81" w:rsidP="00D77B76">
      <w:pPr>
        <w:pStyle w:val="BodytextRPC"/>
        <w:keepNext/>
        <w:numPr>
          <w:ilvl w:val="0"/>
          <w:numId w:val="19"/>
        </w:numPr>
        <w:ind w:left="709"/>
        <w:rPr>
          <w:color w:val="000000" w:themeColor="text1"/>
        </w:rPr>
      </w:pPr>
      <w:r w:rsidRPr="00390B8E">
        <w:rPr>
          <w:color w:val="000000" w:themeColor="text1"/>
        </w:rPr>
        <w:t xml:space="preserve">The Draft Determination capex allowance is similar to the capex actuals of the last period (except in the case of </w:t>
      </w:r>
      <w:r w:rsidR="00B46557" w:rsidRPr="00390B8E">
        <w:rPr>
          <w:color w:val="000000" w:themeColor="text1"/>
        </w:rPr>
        <w:t>AusNet</w:t>
      </w:r>
      <w:r w:rsidRPr="00390B8E">
        <w:rPr>
          <w:color w:val="000000" w:themeColor="text1"/>
        </w:rPr>
        <w:t xml:space="preserve"> Services, whose capex has </w:t>
      </w:r>
      <w:r w:rsidR="00DE54D7" w:rsidRPr="00390B8E">
        <w:rPr>
          <w:color w:val="000000" w:themeColor="text1"/>
        </w:rPr>
        <w:t>decreased after recent periods’</w:t>
      </w:r>
      <w:r w:rsidRPr="00390B8E">
        <w:rPr>
          <w:color w:val="000000" w:themeColor="text1"/>
        </w:rPr>
        <w:t xml:space="preserve"> </w:t>
      </w:r>
      <w:r w:rsidR="00DE54D7" w:rsidRPr="00390B8E">
        <w:rPr>
          <w:color w:val="000000" w:themeColor="text1"/>
        </w:rPr>
        <w:t>elevation</w:t>
      </w:r>
      <w:r w:rsidRPr="00390B8E">
        <w:rPr>
          <w:color w:val="000000" w:themeColor="text1"/>
        </w:rPr>
        <w:t xml:space="preserve">). Given static state peak demand forecasts, increases on the </w:t>
      </w:r>
      <w:r w:rsidR="00667EE6" w:rsidRPr="00390B8E">
        <w:rPr>
          <w:color w:val="000000" w:themeColor="text1"/>
        </w:rPr>
        <w:t>D</w:t>
      </w:r>
      <w:r w:rsidRPr="00390B8E">
        <w:rPr>
          <w:color w:val="000000" w:themeColor="text1"/>
        </w:rPr>
        <w:t xml:space="preserve">etermination allowance are likely to exceed requirements. </w:t>
      </w:r>
    </w:p>
    <w:p w14:paraId="053406C4" w14:textId="2687DDD7" w:rsidR="00DD5EC6" w:rsidRPr="00390B8E" w:rsidRDefault="00D77B76" w:rsidP="00B23081">
      <w:pPr>
        <w:pStyle w:val="BodytextRPC"/>
        <w:keepNext/>
        <w:numPr>
          <w:ilvl w:val="0"/>
          <w:numId w:val="19"/>
        </w:numPr>
        <w:ind w:left="709"/>
        <w:rPr>
          <w:color w:val="000000" w:themeColor="text1"/>
        </w:rPr>
      </w:pPr>
      <w:r w:rsidRPr="00390B8E">
        <w:rPr>
          <w:color w:val="000000" w:themeColor="text1"/>
        </w:rPr>
        <w:t xml:space="preserve">Current period capex spending has fallen short of </w:t>
      </w:r>
      <w:r w:rsidR="00667EE6" w:rsidRPr="00390B8E">
        <w:rPr>
          <w:color w:val="000000" w:themeColor="text1"/>
        </w:rPr>
        <w:t xml:space="preserve">the initial proposals in the 2015 EDPR, </w:t>
      </w:r>
      <w:r w:rsidRPr="00390B8E">
        <w:rPr>
          <w:color w:val="000000" w:themeColor="text1"/>
        </w:rPr>
        <w:t>and also the AER’s allowance</w:t>
      </w:r>
      <w:r w:rsidR="00B23081" w:rsidRPr="00390B8E">
        <w:rPr>
          <w:color w:val="000000" w:themeColor="text1"/>
        </w:rPr>
        <w:t>.</w:t>
      </w:r>
    </w:p>
    <w:p w14:paraId="624F1008" w14:textId="617450C7" w:rsidR="009B4FE6" w:rsidRPr="00390B8E" w:rsidRDefault="003072BF" w:rsidP="00573251">
      <w:pPr>
        <w:pStyle w:val="Heading2"/>
      </w:pPr>
      <w:bookmarkStart w:id="33" w:name="_Toc61341285"/>
      <w:proofErr w:type="spellStart"/>
      <w:r w:rsidRPr="00390B8E">
        <w:t>Repex</w:t>
      </w:r>
      <w:bookmarkEnd w:id="33"/>
      <w:proofErr w:type="spellEnd"/>
    </w:p>
    <w:p w14:paraId="0528417A" w14:textId="29B9C382" w:rsidR="00DE54D7" w:rsidRPr="00390B8E" w:rsidRDefault="00094E53" w:rsidP="00094E53">
      <w:pPr>
        <w:pStyle w:val="BodytextRPC"/>
        <w:rPr>
          <w:color w:val="000000" w:themeColor="text1"/>
        </w:rPr>
      </w:pPr>
      <w:r w:rsidRPr="00390B8E">
        <w:rPr>
          <w:color w:val="000000" w:themeColor="text1"/>
        </w:rPr>
        <w:t xml:space="preserve">Analysis from </w:t>
      </w:r>
      <w:proofErr w:type="spellStart"/>
      <w:r w:rsidRPr="00390B8E">
        <w:rPr>
          <w:color w:val="000000" w:themeColor="text1"/>
        </w:rPr>
        <w:t>Headberry</w:t>
      </w:r>
      <w:proofErr w:type="spellEnd"/>
      <w:r w:rsidRPr="00390B8E">
        <w:rPr>
          <w:color w:val="000000" w:themeColor="text1"/>
        </w:rPr>
        <w:t xml:space="preserve"> Partners </w:t>
      </w:r>
      <w:r w:rsidR="00DE54D7" w:rsidRPr="00390B8E">
        <w:rPr>
          <w:color w:val="000000" w:themeColor="text1"/>
        </w:rPr>
        <w:t xml:space="preserve">shows that the Draft Determination’s </w:t>
      </w:r>
      <w:proofErr w:type="spellStart"/>
      <w:r w:rsidR="00DE54D7" w:rsidRPr="00390B8E">
        <w:rPr>
          <w:color w:val="000000" w:themeColor="text1"/>
        </w:rPr>
        <w:t>repex</w:t>
      </w:r>
      <w:proofErr w:type="spellEnd"/>
      <w:r w:rsidR="00DE54D7" w:rsidRPr="00390B8E">
        <w:rPr>
          <w:color w:val="000000" w:themeColor="text1"/>
        </w:rPr>
        <w:t xml:space="preserve"> is 25% higher than the historical average, and 15% higher than the actual </w:t>
      </w:r>
      <w:proofErr w:type="spellStart"/>
      <w:r w:rsidR="00DE54D7" w:rsidRPr="00390B8E">
        <w:rPr>
          <w:color w:val="000000" w:themeColor="text1"/>
        </w:rPr>
        <w:t>repex</w:t>
      </w:r>
      <w:proofErr w:type="spellEnd"/>
      <w:r w:rsidR="00DE54D7" w:rsidRPr="00390B8E">
        <w:rPr>
          <w:color w:val="000000" w:themeColor="text1"/>
        </w:rPr>
        <w:t xml:space="preserve"> expenditure of the current period. </w:t>
      </w:r>
      <w:r w:rsidR="009F5019" w:rsidRPr="00390B8E">
        <w:rPr>
          <w:color w:val="000000" w:themeColor="text1"/>
        </w:rPr>
        <w:t xml:space="preserve">In the context of </w:t>
      </w:r>
      <w:proofErr w:type="gramStart"/>
      <w:r w:rsidR="009F5019" w:rsidRPr="00390B8E">
        <w:rPr>
          <w:color w:val="000000" w:themeColor="text1"/>
        </w:rPr>
        <w:t>steadily</w:t>
      </w:r>
      <w:r w:rsidR="00667EE6" w:rsidRPr="00390B8E">
        <w:rPr>
          <w:color w:val="000000" w:themeColor="text1"/>
        </w:rPr>
        <w:t>-</w:t>
      </w:r>
      <w:r w:rsidR="009F5019" w:rsidRPr="00390B8E">
        <w:rPr>
          <w:color w:val="000000" w:themeColor="text1"/>
        </w:rPr>
        <w:t>improving</w:t>
      </w:r>
      <w:proofErr w:type="gramEnd"/>
      <w:r w:rsidR="009F5019" w:rsidRPr="00390B8E">
        <w:rPr>
          <w:color w:val="000000" w:themeColor="text1"/>
        </w:rPr>
        <w:t xml:space="preserve"> reliability</w:t>
      </w:r>
      <w:r w:rsidR="00667EE6" w:rsidRPr="00390B8E">
        <w:rPr>
          <w:color w:val="000000" w:themeColor="text1"/>
        </w:rPr>
        <w:t xml:space="preserve"> and the customer priority for affordability, exceeding </w:t>
      </w:r>
      <w:r w:rsidR="009C2B0E" w:rsidRPr="00390B8E">
        <w:rPr>
          <w:color w:val="000000" w:themeColor="text1"/>
        </w:rPr>
        <w:t xml:space="preserve">historical averages may indicate an excess. </w:t>
      </w:r>
    </w:p>
    <w:p w14:paraId="299211E0" w14:textId="1FD875D7" w:rsidR="00F624A3" w:rsidRPr="00390B8E" w:rsidRDefault="009B4FE6" w:rsidP="00F624A3">
      <w:pPr>
        <w:pStyle w:val="Heading3"/>
      </w:pPr>
      <w:bookmarkStart w:id="34" w:name="_Toc61341286"/>
      <w:r w:rsidRPr="00390B8E">
        <w:lastRenderedPageBreak/>
        <w:t xml:space="preserve">CPPALUE Poles </w:t>
      </w:r>
      <w:proofErr w:type="spellStart"/>
      <w:r w:rsidRPr="00390B8E">
        <w:t>Repex</w:t>
      </w:r>
      <w:bookmarkEnd w:id="34"/>
      <w:proofErr w:type="spellEnd"/>
    </w:p>
    <w:p w14:paraId="727A8802" w14:textId="727B28DC" w:rsidR="00F624A3" w:rsidRPr="00390B8E" w:rsidRDefault="00F624A3" w:rsidP="00F624A3">
      <w:pPr>
        <w:pStyle w:val="BodytextRPC"/>
        <w:rPr>
          <w:color w:val="000000" w:themeColor="text1"/>
        </w:rPr>
      </w:pPr>
      <w:r w:rsidRPr="00390B8E">
        <w:rPr>
          <w:color w:val="000000" w:themeColor="text1"/>
        </w:rPr>
        <w:t xml:space="preserve">CPPALUE made a significant increase in the proposed </w:t>
      </w:r>
      <w:proofErr w:type="spellStart"/>
      <w:r w:rsidRPr="00390B8E">
        <w:rPr>
          <w:color w:val="000000" w:themeColor="text1"/>
        </w:rPr>
        <w:t>repex</w:t>
      </w:r>
      <w:proofErr w:type="spellEnd"/>
      <w:r w:rsidRPr="00390B8E">
        <w:rPr>
          <w:color w:val="000000" w:themeColor="text1"/>
        </w:rPr>
        <w:t xml:space="preserve"> for wood poles across their three networks</w:t>
      </w:r>
      <w:r w:rsidR="002A6B00" w:rsidRPr="00390B8E">
        <w:rPr>
          <w:color w:val="000000" w:themeColor="text1"/>
        </w:rPr>
        <w:t xml:space="preserve"> </w:t>
      </w:r>
      <w:r w:rsidRPr="00390B8E">
        <w:rPr>
          <w:color w:val="000000" w:themeColor="text1"/>
        </w:rPr>
        <w:t xml:space="preserve">in response to </w:t>
      </w:r>
      <w:r w:rsidR="002A6B00" w:rsidRPr="00390B8E">
        <w:rPr>
          <w:color w:val="000000" w:themeColor="text1"/>
        </w:rPr>
        <w:t>an</w:t>
      </w:r>
      <w:r w:rsidRPr="00390B8E">
        <w:rPr>
          <w:color w:val="000000" w:themeColor="text1"/>
        </w:rPr>
        <w:t xml:space="preserve"> ESV</w:t>
      </w:r>
      <w:r w:rsidR="002A6B00" w:rsidRPr="00390B8E">
        <w:rPr>
          <w:color w:val="000000" w:themeColor="text1"/>
        </w:rPr>
        <w:t xml:space="preserve"> review in 2019</w:t>
      </w:r>
      <w:r w:rsidRPr="00390B8E">
        <w:rPr>
          <w:color w:val="000000" w:themeColor="text1"/>
        </w:rPr>
        <w:t>.</w:t>
      </w:r>
    </w:p>
    <w:p w14:paraId="6D0BBEFE" w14:textId="2B6455DE" w:rsidR="00655A7E" w:rsidRPr="00390B8E" w:rsidRDefault="00655A7E" w:rsidP="00F624A3">
      <w:pPr>
        <w:pStyle w:val="BodytextRPC"/>
        <w:rPr>
          <w:color w:val="000000" w:themeColor="text1"/>
        </w:rPr>
      </w:pPr>
      <w:r w:rsidRPr="00390B8E">
        <w:rPr>
          <w:color w:val="000000" w:themeColor="text1"/>
        </w:rPr>
        <w:t xml:space="preserve">Powercor proposed to increase pole </w:t>
      </w:r>
      <w:proofErr w:type="spellStart"/>
      <w:r w:rsidRPr="00390B8E">
        <w:rPr>
          <w:color w:val="000000" w:themeColor="text1"/>
        </w:rPr>
        <w:t>repex</w:t>
      </w:r>
      <w:proofErr w:type="spellEnd"/>
      <w:r w:rsidRPr="00390B8E">
        <w:rPr>
          <w:color w:val="000000" w:themeColor="text1"/>
        </w:rPr>
        <w:t xml:space="preserve"> by 243% on the current period, with </w:t>
      </w:r>
      <w:r w:rsidR="009E670D" w:rsidRPr="00390B8E">
        <w:rPr>
          <w:color w:val="000000" w:themeColor="text1"/>
        </w:rPr>
        <w:t>United Energy</w:t>
      </w:r>
      <w:r w:rsidRPr="00390B8E">
        <w:rPr>
          <w:color w:val="000000" w:themeColor="text1"/>
        </w:rPr>
        <w:t xml:space="preserve"> and </w:t>
      </w:r>
      <w:r w:rsidR="00B46557" w:rsidRPr="00390B8E">
        <w:rPr>
          <w:color w:val="000000" w:themeColor="text1"/>
        </w:rPr>
        <w:t>CitiPower</w:t>
      </w:r>
      <w:r w:rsidR="009E670D" w:rsidRPr="00390B8E">
        <w:rPr>
          <w:color w:val="000000" w:themeColor="text1"/>
        </w:rPr>
        <w:t xml:space="preserve"> also</w:t>
      </w:r>
      <w:r w:rsidRPr="00390B8E">
        <w:rPr>
          <w:color w:val="000000" w:themeColor="text1"/>
        </w:rPr>
        <w:t xml:space="preserve"> proposing </w:t>
      </w:r>
      <w:r w:rsidR="009E670D" w:rsidRPr="00390B8E">
        <w:rPr>
          <w:color w:val="000000" w:themeColor="text1"/>
        </w:rPr>
        <w:t xml:space="preserve">significant </w:t>
      </w:r>
      <w:r w:rsidR="00351C75" w:rsidRPr="00390B8E">
        <w:rPr>
          <w:color w:val="000000" w:themeColor="text1"/>
        </w:rPr>
        <w:t>increases</w:t>
      </w:r>
      <w:r w:rsidRPr="00390B8E">
        <w:rPr>
          <w:color w:val="000000" w:themeColor="text1"/>
        </w:rPr>
        <w:t>.</w:t>
      </w:r>
    </w:p>
    <w:p w14:paraId="075FD1E3" w14:textId="543720E2" w:rsidR="00D14E11" w:rsidRPr="00390B8E" w:rsidRDefault="00F624A3" w:rsidP="00F624A3">
      <w:pPr>
        <w:pStyle w:val="BodytextRPC"/>
        <w:rPr>
          <w:color w:val="000000" w:themeColor="text1"/>
        </w:rPr>
      </w:pPr>
      <w:r w:rsidRPr="00390B8E">
        <w:rPr>
          <w:color w:val="000000" w:themeColor="text1"/>
        </w:rPr>
        <w:t xml:space="preserve">The AER challenged the </w:t>
      </w:r>
      <w:r w:rsidR="00CB6ECA" w:rsidRPr="00390B8E">
        <w:rPr>
          <w:color w:val="000000" w:themeColor="text1"/>
        </w:rPr>
        <w:t xml:space="preserve">proposed </w:t>
      </w:r>
      <w:proofErr w:type="spellStart"/>
      <w:r w:rsidR="00CB6ECA" w:rsidRPr="00390B8E">
        <w:rPr>
          <w:color w:val="000000" w:themeColor="text1"/>
        </w:rPr>
        <w:t>repex</w:t>
      </w:r>
      <w:proofErr w:type="spellEnd"/>
      <w:r w:rsidR="00CB6ECA" w:rsidRPr="00390B8E">
        <w:rPr>
          <w:color w:val="000000" w:themeColor="text1"/>
        </w:rPr>
        <w:t xml:space="preserve"> </w:t>
      </w:r>
      <w:r w:rsidR="00351C75" w:rsidRPr="00390B8E">
        <w:rPr>
          <w:color w:val="000000" w:themeColor="text1"/>
        </w:rPr>
        <w:t>by budgeting for</w:t>
      </w:r>
      <w:r w:rsidR="004A7113" w:rsidRPr="00390B8E">
        <w:rPr>
          <w:color w:val="000000" w:themeColor="text1"/>
        </w:rPr>
        <w:t xml:space="preserve"> the </w:t>
      </w:r>
      <w:r w:rsidR="00351C75" w:rsidRPr="00390B8E">
        <w:rPr>
          <w:color w:val="000000" w:themeColor="text1"/>
        </w:rPr>
        <w:t>replacement rate from the</w:t>
      </w:r>
      <w:r w:rsidR="004A7113" w:rsidRPr="00390B8E">
        <w:rPr>
          <w:color w:val="000000" w:themeColor="text1"/>
        </w:rPr>
        <w:t xml:space="preserve"> most recent period where Powercor exceeded failure rate targets, 2010-15</w:t>
      </w:r>
      <w:r w:rsidR="000655E0" w:rsidRPr="00390B8E">
        <w:rPr>
          <w:color w:val="000000" w:themeColor="text1"/>
        </w:rPr>
        <w:t>,</w:t>
      </w:r>
      <w:r w:rsidR="0041217A" w:rsidRPr="00390B8E">
        <w:rPr>
          <w:color w:val="000000" w:themeColor="text1"/>
        </w:rPr>
        <w:t xml:space="preserve"> as well as </w:t>
      </w:r>
      <w:r w:rsidR="00676C38" w:rsidRPr="00390B8E">
        <w:rPr>
          <w:color w:val="000000" w:themeColor="text1"/>
        </w:rPr>
        <w:t>a</w:t>
      </w:r>
      <w:r w:rsidR="00D14E11" w:rsidRPr="00390B8E">
        <w:rPr>
          <w:color w:val="000000" w:themeColor="text1"/>
        </w:rPr>
        <w:t xml:space="preserve"> ‘backlog’</w:t>
      </w:r>
      <w:r w:rsidR="0006195C" w:rsidRPr="00390B8E">
        <w:rPr>
          <w:color w:val="000000" w:themeColor="text1"/>
        </w:rPr>
        <w:t xml:space="preserve"> </w:t>
      </w:r>
      <w:r w:rsidR="00676C38" w:rsidRPr="00390B8E">
        <w:rPr>
          <w:color w:val="000000" w:themeColor="text1"/>
        </w:rPr>
        <w:t xml:space="preserve">from </w:t>
      </w:r>
      <w:r w:rsidR="0041217A" w:rsidRPr="00390B8E">
        <w:rPr>
          <w:color w:val="000000" w:themeColor="text1"/>
        </w:rPr>
        <w:t>the intervening years</w:t>
      </w:r>
      <w:r w:rsidR="00351C75" w:rsidRPr="00390B8E">
        <w:rPr>
          <w:color w:val="000000" w:themeColor="text1"/>
        </w:rPr>
        <w:t>.</w:t>
      </w:r>
    </w:p>
    <w:p w14:paraId="676DB508" w14:textId="68458653" w:rsidR="00676C38" w:rsidRPr="00390B8E" w:rsidRDefault="00676C38" w:rsidP="00F624A3">
      <w:pPr>
        <w:pStyle w:val="BodytextRPC"/>
        <w:rPr>
          <w:color w:val="000000" w:themeColor="text1"/>
        </w:rPr>
      </w:pPr>
      <w:r w:rsidRPr="00390B8E">
        <w:rPr>
          <w:color w:val="000000" w:themeColor="text1"/>
        </w:rPr>
        <w:t xml:space="preserve">CPPALUE has rejected the AER’s decision, on the grounds that </w:t>
      </w:r>
      <w:r w:rsidR="00052349" w:rsidRPr="00390B8E">
        <w:rPr>
          <w:color w:val="000000" w:themeColor="text1"/>
        </w:rPr>
        <w:t>the asset management practices behind the 2010-15 rate are no longer approved by the ESV and meet compliance obligations of the Electrical Safety Act.</w:t>
      </w:r>
      <w:r w:rsidR="00052349" w:rsidRPr="00390B8E">
        <w:rPr>
          <w:rStyle w:val="FootnoteReference"/>
          <w:color w:val="000000" w:themeColor="text1"/>
        </w:rPr>
        <w:footnoteReference w:id="23"/>
      </w:r>
    </w:p>
    <w:p w14:paraId="282B61CA" w14:textId="7E398704" w:rsidR="004A7113" w:rsidRPr="00390B8E" w:rsidRDefault="00424F5D" w:rsidP="00F624A3">
      <w:pPr>
        <w:pStyle w:val="BodytextRPC"/>
        <w:rPr>
          <w:color w:val="000000" w:themeColor="text1"/>
        </w:rPr>
      </w:pPr>
      <w:r w:rsidRPr="00390B8E">
        <w:rPr>
          <w:color w:val="000000" w:themeColor="text1"/>
        </w:rPr>
        <w:t xml:space="preserve">Stakeholders also challenged CPPALUE for failing to distinguish between the failure rate, and the consequences of pole failure in an urban environment and the rural networks. This shortcoming is particularly </w:t>
      </w:r>
      <w:r w:rsidR="00FC191C" w:rsidRPr="00390B8E">
        <w:rPr>
          <w:color w:val="000000" w:themeColor="text1"/>
        </w:rPr>
        <w:t xml:space="preserve">apparent given that concerns over bushfire risk have driven this process. </w:t>
      </w:r>
    </w:p>
    <w:p w14:paraId="73F72362" w14:textId="3D83944F" w:rsidR="00FC191C" w:rsidRPr="00390B8E" w:rsidRDefault="00FC191C" w:rsidP="00F624A3">
      <w:pPr>
        <w:pStyle w:val="BodytextRPC"/>
        <w:rPr>
          <w:color w:val="000000" w:themeColor="text1"/>
        </w:rPr>
      </w:pPr>
      <w:r w:rsidRPr="00390B8E">
        <w:rPr>
          <w:color w:val="000000" w:themeColor="text1"/>
        </w:rPr>
        <w:t xml:space="preserve">We accept that CPPALUE are adjusting their processes to meet new risk-management requirements. We also feel that calibration of these processes against historical results – given the large number of assumptions that feed into the new models, and the sensitivity of the model to estimation of the failure rate – is </w:t>
      </w:r>
      <w:r w:rsidR="0041217A" w:rsidRPr="00390B8E">
        <w:rPr>
          <w:color w:val="000000" w:themeColor="text1"/>
        </w:rPr>
        <w:t>a reasonable challenge from the regulator.</w:t>
      </w:r>
    </w:p>
    <w:p w14:paraId="305B9517" w14:textId="0E7FA9CF" w:rsidR="00FC191C" w:rsidRPr="00390B8E" w:rsidRDefault="00FC191C" w:rsidP="00676C38">
      <w:pPr>
        <w:pStyle w:val="BodytextRPC"/>
        <w:rPr>
          <w:color w:val="000000" w:themeColor="text1"/>
        </w:rPr>
      </w:pPr>
      <w:r w:rsidRPr="00390B8E">
        <w:rPr>
          <w:color w:val="000000" w:themeColor="text1"/>
        </w:rPr>
        <w:t xml:space="preserve">We support the application of a refined model, </w:t>
      </w:r>
      <w:r w:rsidR="00603BD7" w:rsidRPr="00390B8E">
        <w:rPr>
          <w:color w:val="000000" w:themeColor="text1"/>
        </w:rPr>
        <w:t xml:space="preserve">consistent with historical </w:t>
      </w:r>
      <w:r w:rsidR="0041217A" w:rsidRPr="00390B8E">
        <w:rPr>
          <w:color w:val="000000" w:themeColor="text1"/>
        </w:rPr>
        <w:t>results</w:t>
      </w:r>
      <w:r w:rsidR="00603BD7" w:rsidRPr="00390B8E">
        <w:rPr>
          <w:color w:val="000000" w:themeColor="text1"/>
        </w:rPr>
        <w:t>, and detailed enough to properly consider different hazards and risks applying to urban settings.</w:t>
      </w:r>
    </w:p>
    <w:p w14:paraId="79604AF7" w14:textId="06F0E4DE" w:rsidR="00676C38" w:rsidRPr="00390B8E" w:rsidRDefault="00676C38" w:rsidP="00676C38">
      <w:pPr>
        <w:pStyle w:val="BodytextRPC"/>
        <w:rPr>
          <w:color w:val="000000" w:themeColor="text1"/>
        </w:rPr>
      </w:pPr>
      <w:r w:rsidRPr="00390B8E">
        <w:rPr>
          <w:color w:val="000000" w:themeColor="text1"/>
        </w:rPr>
        <w:t>We note that CPPALUE accepted the AER’s</w:t>
      </w:r>
      <w:r w:rsidR="00F0641E" w:rsidRPr="00390B8E">
        <w:rPr>
          <w:color w:val="000000" w:themeColor="text1"/>
        </w:rPr>
        <w:t xml:space="preserve"> decision that it is appropriate to reinvest CESS benefit towards pole safety, and we commend this commitment pending the wider revision of the incentive framework currently being scoped by the AER. </w:t>
      </w:r>
    </w:p>
    <w:p w14:paraId="1BE4A337" w14:textId="653C08BC" w:rsidR="00AF40EE" w:rsidRPr="00390B8E" w:rsidRDefault="00B46557" w:rsidP="00AF40EE">
      <w:pPr>
        <w:pStyle w:val="Heading3"/>
        <w:rPr>
          <w:color w:val="000000" w:themeColor="text1"/>
        </w:rPr>
      </w:pPr>
      <w:bookmarkStart w:id="35" w:name="_Toc61341287"/>
      <w:r w:rsidRPr="00390B8E">
        <w:t>AusNet</w:t>
      </w:r>
      <w:r w:rsidR="00AF40EE" w:rsidRPr="00390B8E">
        <w:t xml:space="preserve"> and Jemena </w:t>
      </w:r>
      <w:proofErr w:type="spellStart"/>
      <w:r w:rsidR="00AF40EE" w:rsidRPr="00390B8E">
        <w:t>Repex</w:t>
      </w:r>
      <w:bookmarkEnd w:id="35"/>
      <w:proofErr w:type="spellEnd"/>
    </w:p>
    <w:p w14:paraId="0AEA97D9" w14:textId="77777777" w:rsidR="00404B63" w:rsidRPr="00390B8E" w:rsidRDefault="00DE54D7" w:rsidP="00676C38">
      <w:pPr>
        <w:pStyle w:val="BodytextRPC"/>
        <w:rPr>
          <w:color w:val="000000" w:themeColor="text1"/>
        </w:rPr>
      </w:pPr>
      <w:r w:rsidRPr="00390B8E">
        <w:rPr>
          <w:color w:val="000000" w:themeColor="text1"/>
        </w:rPr>
        <w:t xml:space="preserve">Analysis from </w:t>
      </w:r>
      <w:proofErr w:type="spellStart"/>
      <w:r w:rsidRPr="00390B8E">
        <w:rPr>
          <w:color w:val="000000" w:themeColor="text1"/>
        </w:rPr>
        <w:t>Headberry</w:t>
      </w:r>
      <w:proofErr w:type="spellEnd"/>
      <w:r w:rsidRPr="00390B8E">
        <w:rPr>
          <w:color w:val="000000" w:themeColor="text1"/>
        </w:rPr>
        <w:t xml:space="preserve"> Partners argues that the AER’s general acceptance of the proposed </w:t>
      </w:r>
      <w:proofErr w:type="spellStart"/>
      <w:r w:rsidRPr="00390B8E">
        <w:rPr>
          <w:color w:val="000000" w:themeColor="text1"/>
        </w:rPr>
        <w:t>repex</w:t>
      </w:r>
      <w:proofErr w:type="spellEnd"/>
      <w:r w:rsidRPr="00390B8E">
        <w:rPr>
          <w:color w:val="000000" w:themeColor="text1"/>
        </w:rPr>
        <w:t xml:space="preserve"> from these two networks relies on a comparison to expenditure in the current period, </w:t>
      </w:r>
      <w:r w:rsidR="00404B63" w:rsidRPr="00390B8E">
        <w:rPr>
          <w:color w:val="000000" w:themeColor="text1"/>
        </w:rPr>
        <w:t xml:space="preserve">without a full consideration of the extent to which the current period has increased from the historical trend. </w:t>
      </w:r>
    </w:p>
    <w:p w14:paraId="6288DC02" w14:textId="5B0CC4FE" w:rsidR="00AF40EE" w:rsidRPr="00390B8E" w:rsidRDefault="00404B63" w:rsidP="00676C38">
      <w:pPr>
        <w:pStyle w:val="BodytextRPC"/>
        <w:rPr>
          <w:color w:val="000000" w:themeColor="text1"/>
        </w:rPr>
      </w:pPr>
      <w:r w:rsidRPr="00390B8E">
        <w:rPr>
          <w:color w:val="000000" w:themeColor="text1"/>
        </w:rPr>
        <w:t xml:space="preserve">The analysis also questions the approval of a higher </w:t>
      </w:r>
      <w:proofErr w:type="spellStart"/>
      <w:r w:rsidRPr="00390B8E">
        <w:rPr>
          <w:color w:val="000000" w:themeColor="text1"/>
        </w:rPr>
        <w:t>repex</w:t>
      </w:r>
      <w:proofErr w:type="spellEnd"/>
      <w:r w:rsidRPr="00390B8E">
        <w:rPr>
          <w:color w:val="000000" w:themeColor="text1"/>
        </w:rPr>
        <w:t xml:space="preserve"> allowance for </w:t>
      </w:r>
      <w:r w:rsidR="00B46557" w:rsidRPr="00390B8E">
        <w:rPr>
          <w:color w:val="000000" w:themeColor="text1"/>
        </w:rPr>
        <w:t>AusNet</w:t>
      </w:r>
      <w:r w:rsidRPr="00390B8E">
        <w:rPr>
          <w:color w:val="000000" w:themeColor="text1"/>
        </w:rPr>
        <w:t xml:space="preserve"> Services than Powercor, given the similarities in the asset base of these networks.</w:t>
      </w:r>
    </w:p>
    <w:p w14:paraId="31E06E16" w14:textId="1786BE92" w:rsidR="00404B63" w:rsidRPr="00390B8E" w:rsidRDefault="005B79C2" w:rsidP="00676C38">
      <w:pPr>
        <w:pStyle w:val="BodytextRPC"/>
        <w:rPr>
          <w:color w:val="000000" w:themeColor="text1"/>
        </w:rPr>
      </w:pPr>
      <w:r w:rsidRPr="00390B8E">
        <w:rPr>
          <w:color w:val="000000" w:themeColor="text1"/>
        </w:rPr>
        <w:lastRenderedPageBreak/>
        <w:t>The</w:t>
      </w:r>
      <w:r w:rsidR="00404B63" w:rsidRPr="00390B8E">
        <w:rPr>
          <w:color w:val="000000" w:themeColor="text1"/>
        </w:rPr>
        <w:t xml:space="preserve"> CESS </w:t>
      </w:r>
      <w:r w:rsidRPr="00390B8E">
        <w:rPr>
          <w:color w:val="000000" w:themeColor="text1"/>
        </w:rPr>
        <w:t>award</w:t>
      </w:r>
      <w:r w:rsidR="00404B63" w:rsidRPr="00390B8E">
        <w:rPr>
          <w:color w:val="000000" w:themeColor="text1"/>
        </w:rPr>
        <w:t xml:space="preserve"> granted to these networks as a result of </w:t>
      </w:r>
      <w:r w:rsidR="000057E9" w:rsidRPr="00390B8E">
        <w:rPr>
          <w:color w:val="000000" w:themeColor="text1"/>
        </w:rPr>
        <w:t>under</w:t>
      </w:r>
      <w:r w:rsidR="00404B63" w:rsidRPr="00390B8E">
        <w:rPr>
          <w:color w:val="000000" w:themeColor="text1"/>
        </w:rPr>
        <w:t xml:space="preserve">spending </w:t>
      </w:r>
      <w:r w:rsidR="000057E9" w:rsidRPr="00390B8E">
        <w:rPr>
          <w:color w:val="000000" w:themeColor="text1"/>
        </w:rPr>
        <w:t xml:space="preserve">the </w:t>
      </w:r>
      <w:proofErr w:type="spellStart"/>
      <w:r w:rsidR="000057E9" w:rsidRPr="00390B8E">
        <w:rPr>
          <w:color w:val="000000" w:themeColor="text1"/>
        </w:rPr>
        <w:t>repex</w:t>
      </w:r>
      <w:proofErr w:type="spellEnd"/>
      <w:r w:rsidR="00404B63" w:rsidRPr="00390B8E">
        <w:rPr>
          <w:color w:val="000000" w:themeColor="text1"/>
        </w:rPr>
        <w:t xml:space="preserve"> </w:t>
      </w:r>
      <w:r w:rsidR="000057E9" w:rsidRPr="00390B8E">
        <w:rPr>
          <w:color w:val="000000" w:themeColor="text1"/>
        </w:rPr>
        <w:t>allocation for</w:t>
      </w:r>
      <w:r w:rsidR="00404B63" w:rsidRPr="00390B8E">
        <w:rPr>
          <w:color w:val="000000" w:themeColor="text1"/>
        </w:rPr>
        <w:t xml:space="preserve"> the last period </w:t>
      </w:r>
      <w:r w:rsidRPr="00390B8E">
        <w:rPr>
          <w:color w:val="000000" w:themeColor="text1"/>
        </w:rPr>
        <w:t>is a reason for careful consideration of these</w:t>
      </w:r>
      <w:r w:rsidR="00404B63" w:rsidRPr="00390B8E">
        <w:rPr>
          <w:color w:val="000000" w:themeColor="text1"/>
        </w:rPr>
        <w:t xml:space="preserve"> </w:t>
      </w:r>
      <w:r w:rsidR="000057E9" w:rsidRPr="00390B8E">
        <w:rPr>
          <w:color w:val="000000" w:themeColor="text1"/>
        </w:rPr>
        <w:t>networks’ revised submission for</w:t>
      </w:r>
      <w:r w:rsidRPr="00390B8E">
        <w:rPr>
          <w:color w:val="000000" w:themeColor="text1"/>
        </w:rPr>
        <w:t xml:space="preserve"> increased</w:t>
      </w:r>
      <w:r w:rsidR="000057E9" w:rsidRPr="00390B8E">
        <w:rPr>
          <w:color w:val="000000" w:themeColor="text1"/>
        </w:rPr>
        <w:t xml:space="preserve"> </w:t>
      </w:r>
      <w:proofErr w:type="spellStart"/>
      <w:r w:rsidR="000057E9" w:rsidRPr="00390B8E">
        <w:rPr>
          <w:color w:val="000000" w:themeColor="text1"/>
        </w:rPr>
        <w:t>repex</w:t>
      </w:r>
      <w:proofErr w:type="spellEnd"/>
      <w:r w:rsidR="000057E9" w:rsidRPr="00390B8E">
        <w:rPr>
          <w:color w:val="000000" w:themeColor="text1"/>
        </w:rPr>
        <w:t xml:space="preserve"> </w:t>
      </w:r>
      <w:r w:rsidRPr="00390B8E">
        <w:rPr>
          <w:color w:val="000000" w:themeColor="text1"/>
        </w:rPr>
        <w:t>from the Draft Decision</w:t>
      </w:r>
      <w:r w:rsidR="000057E9" w:rsidRPr="00390B8E">
        <w:rPr>
          <w:color w:val="000000" w:themeColor="text1"/>
        </w:rPr>
        <w:t>, despite the approval of a large percentage</w:t>
      </w:r>
      <w:r w:rsidRPr="00390B8E">
        <w:rPr>
          <w:color w:val="000000" w:themeColor="text1"/>
        </w:rPr>
        <w:t xml:space="preserve"> of their initial claim. </w:t>
      </w:r>
    </w:p>
    <w:p w14:paraId="35EA68BC" w14:textId="504021D5" w:rsidR="003072BF" w:rsidRPr="00390B8E" w:rsidRDefault="003072BF" w:rsidP="003072BF">
      <w:pPr>
        <w:pStyle w:val="Heading2"/>
      </w:pPr>
      <w:bookmarkStart w:id="36" w:name="_Toc61341288"/>
      <w:proofErr w:type="spellStart"/>
      <w:r w:rsidRPr="00390B8E">
        <w:t>Augex</w:t>
      </w:r>
      <w:bookmarkEnd w:id="36"/>
      <w:proofErr w:type="spellEnd"/>
    </w:p>
    <w:p w14:paraId="475EDA59" w14:textId="5F675F6E" w:rsidR="008B0314" w:rsidRPr="00390B8E" w:rsidRDefault="00B46557" w:rsidP="008B0314">
      <w:pPr>
        <w:pStyle w:val="BodytextRPC"/>
        <w:rPr>
          <w:color w:val="000000" w:themeColor="text1"/>
        </w:rPr>
      </w:pPr>
      <w:proofErr w:type="spellStart"/>
      <w:r w:rsidRPr="00390B8E">
        <w:rPr>
          <w:color w:val="000000" w:themeColor="text1"/>
        </w:rPr>
        <w:t>Headberry</w:t>
      </w:r>
      <w:proofErr w:type="spellEnd"/>
      <w:r w:rsidRPr="00390B8E">
        <w:rPr>
          <w:color w:val="000000" w:themeColor="text1"/>
        </w:rPr>
        <w:t xml:space="preserve"> Partners’</w:t>
      </w:r>
      <w:r w:rsidR="00AF288B" w:rsidRPr="00390B8E">
        <w:rPr>
          <w:color w:val="000000" w:themeColor="text1"/>
        </w:rPr>
        <w:t xml:space="preserve"> analysis draws attention to the potential for optimising network assets rather than augmenting the network to address local peak demand increases, in the context of static state-wide peak demand and falling utilisation. </w:t>
      </w:r>
    </w:p>
    <w:p w14:paraId="45AA7F6E" w14:textId="28CFBB31" w:rsidR="0004226F" w:rsidRPr="00390B8E" w:rsidRDefault="0004226F" w:rsidP="008B0314">
      <w:pPr>
        <w:pStyle w:val="BodytextRPC"/>
        <w:rPr>
          <w:color w:val="000000" w:themeColor="text1"/>
        </w:rPr>
      </w:pPr>
      <w:r w:rsidRPr="00390B8E">
        <w:rPr>
          <w:color w:val="000000" w:themeColor="text1"/>
        </w:rPr>
        <w:t xml:space="preserve">AEMO forecasts do not anticipate Victorian peak demand to exceed the current period. This indicates that </w:t>
      </w:r>
      <w:proofErr w:type="spellStart"/>
      <w:r w:rsidRPr="00390B8E">
        <w:rPr>
          <w:color w:val="000000" w:themeColor="text1"/>
        </w:rPr>
        <w:t>augex</w:t>
      </w:r>
      <w:proofErr w:type="spellEnd"/>
      <w:r w:rsidRPr="00390B8E">
        <w:rPr>
          <w:color w:val="000000" w:themeColor="text1"/>
        </w:rPr>
        <w:t xml:space="preserve"> requirements for the upcoming period should be </w:t>
      </w:r>
      <w:r w:rsidR="001E5624" w:rsidRPr="00390B8E">
        <w:rPr>
          <w:color w:val="000000" w:themeColor="text1"/>
        </w:rPr>
        <w:t>analogous</w:t>
      </w:r>
      <w:r w:rsidRPr="00390B8E">
        <w:rPr>
          <w:color w:val="000000" w:themeColor="text1"/>
        </w:rPr>
        <w:t xml:space="preserve"> to the actual requirement of the current period, given that non-coincident demand to 2019 did not exceed that of 2014. </w:t>
      </w:r>
    </w:p>
    <w:p w14:paraId="7EBC4E70" w14:textId="640FCF48" w:rsidR="0004226F" w:rsidRPr="00390B8E" w:rsidRDefault="0004226F" w:rsidP="008B0314">
      <w:pPr>
        <w:pStyle w:val="BodytextRPC"/>
        <w:rPr>
          <w:color w:val="000000" w:themeColor="text1"/>
        </w:rPr>
      </w:pPr>
      <w:r w:rsidRPr="00390B8E">
        <w:rPr>
          <w:color w:val="000000" w:themeColor="text1"/>
        </w:rPr>
        <w:t xml:space="preserve">Initial </w:t>
      </w:r>
      <w:proofErr w:type="spellStart"/>
      <w:r w:rsidRPr="00390B8E">
        <w:rPr>
          <w:color w:val="000000" w:themeColor="text1"/>
        </w:rPr>
        <w:t>augex</w:t>
      </w:r>
      <w:proofErr w:type="spellEnd"/>
      <w:r w:rsidRPr="00390B8E">
        <w:rPr>
          <w:color w:val="000000" w:themeColor="text1"/>
        </w:rPr>
        <w:t xml:space="preserve"> proposals were similar to </w:t>
      </w:r>
      <w:r w:rsidR="004C0537" w:rsidRPr="00390B8E">
        <w:rPr>
          <w:color w:val="000000" w:themeColor="text1"/>
        </w:rPr>
        <w:t>the initial claims for</w:t>
      </w:r>
      <w:r w:rsidRPr="00390B8E">
        <w:rPr>
          <w:color w:val="000000" w:themeColor="text1"/>
        </w:rPr>
        <w:t xml:space="preserve"> the current period, despite the significant underspend of this period in an analogous static demand environment. This trend analysis supports reduction to proposed </w:t>
      </w:r>
      <w:proofErr w:type="spellStart"/>
      <w:r w:rsidRPr="00390B8E">
        <w:rPr>
          <w:color w:val="000000" w:themeColor="text1"/>
        </w:rPr>
        <w:t>augex</w:t>
      </w:r>
      <w:proofErr w:type="spellEnd"/>
      <w:r w:rsidRPr="00390B8E">
        <w:rPr>
          <w:color w:val="000000" w:themeColor="text1"/>
        </w:rPr>
        <w:t xml:space="preserve"> beyond the decision in the Draft Determination.  </w:t>
      </w:r>
    </w:p>
    <w:p w14:paraId="1C0D6ACD" w14:textId="1E0402B8" w:rsidR="00B23081" w:rsidRPr="00390B8E" w:rsidRDefault="00B23081" w:rsidP="008B0314">
      <w:pPr>
        <w:pStyle w:val="BodytextRPC"/>
        <w:rPr>
          <w:color w:val="000000" w:themeColor="text1"/>
        </w:rPr>
      </w:pPr>
      <w:r w:rsidRPr="00390B8E">
        <w:rPr>
          <w:noProof/>
          <w:color w:val="000000" w:themeColor="text1"/>
        </w:rPr>
        <mc:AlternateContent>
          <mc:Choice Requires="wps">
            <w:drawing>
              <wp:anchor distT="0" distB="0" distL="114300" distR="114300" simplePos="0" relativeHeight="251658251" behindDoc="0" locked="0" layoutInCell="1" allowOverlap="1" wp14:anchorId="1058E903" wp14:editId="682CCA44">
                <wp:simplePos x="0" y="0"/>
                <wp:positionH relativeFrom="column">
                  <wp:posOffset>-60834</wp:posOffset>
                </wp:positionH>
                <wp:positionV relativeFrom="paragraph">
                  <wp:posOffset>109597</wp:posOffset>
                </wp:positionV>
                <wp:extent cx="5166910" cy="1828800"/>
                <wp:effectExtent l="0" t="0" r="15240" b="12065"/>
                <wp:wrapNone/>
                <wp:docPr id="16" name="Text Box 16"/>
                <wp:cNvGraphicFramePr/>
                <a:graphic xmlns:a="http://schemas.openxmlformats.org/drawingml/2006/main">
                  <a:graphicData uri="http://schemas.microsoft.com/office/word/2010/wordprocessingShape">
                    <wps:wsp>
                      <wps:cNvSpPr txBox="1"/>
                      <wps:spPr>
                        <a:xfrm>
                          <a:off x="0" y="0"/>
                          <a:ext cx="5166910" cy="1828800"/>
                        </a:xfrm>
                        <a:prstGeom prst="rect">
                          <a:avLst/>
                        </a:prstGeom>
                        <a:noFill/>
                        <a:ln w="6350">
                          <a:solidFill>
                            <a:prstClr val="black"/>
                          </a:solidFill>
                        </a:ln>
                      </wps:spPr>
                      <wps:txbx>
                        <w:txbxContent>
                          <w:p w14:paraId="46C14F16" w14:textId="77777777" w:rsidR="000655E0" w:rsidRPr="000E2AE6" w:rsidRDefault="000655E0" w:rsidP="00573251">
                            <w:pPr>
                              <w:pStyle w:val="BodytextRPC"/>
                              <w:shd w:val="clear" w:color="auto" w:fill="000000" w:themeFill="text1"/>
                            </w:pPr>
                            <w:r>
                              <w:t>Key points:</w:t>
                            </w:r>
                          </w:p>
                          <w:p w14:paraId="0103D1DE" w14:textId="27373BD7" w:rsidR="000655E0" w:rsidRDefault="000655E0" w:rsidP="000F32EE">
                            <w:pPr>
                              <w:pStyle w:val="BodytextRPC"/>
                              <w:numPr>
                                <w:ilvl w:val="0"/>
                                <w:numId w:val="15"/>
                              </w:numPr>
                              <w:ind w:left="426"/>
                            </w:pPr>
                            <w:r>
                              <w:t xml:space="preserve">An analysis of capex trends discovers a range of indicators that the capex claims in the revised proposals exceed the requirements of the networks.  </w:t>
                            </w:r>
                          </w:p>
                          <w:p w14:paraId="7F4E38A5" w14:textId="49FB38DC" w:rsidR="000655E0" w:rsidRPr="000E2AE6" w:rsidRDefault="000655E0" w:rsidP="000F32EE">
                            <w:pPr>
                              <w:pStyle w:val="BodytextRPC"/>
                              <w:numPr>
                                <w:ilvl w:val="0"/>
                                <w:numId w:val="15"/>
                              </w:numPr>
                              <w:ind w:left="426"/>
                            </w:pPr>
                            <w:proofErr w:type="spellStart"/>
                            <w:r>
                              <w:t>Repex</w:t>
                            </w:r>
                            <w:proofErr w:type="spellEnd"/>
                            <w:r>
                              <w:t xml:space="preserve"> proposals are higher than for the last period, and significantly higher than historical levels.</w:t>
                            </w:r>
                          </w:p>
                          <w:p w14:paraId="346B67BC" w14:textId="5A3E02D9" w:rsidR="000655E0" w:rsidRPr="000E2AE6" w:rsidRDefault="000655E0" w:rsidP="000F32EE">
                            <w:pPr>
                              <w:pStyle w:val="BodytextRPC"/>
                              <w:numPr>
                                <w:ilvl w:val="0"/>
                                <w:numId w:val="15"/>
                              </w:numPr>
                              <w:ind w:left="426"/>
                            </w:pPr>
                            <w:r>
                              <w:t xml:space="preserve">In the context of AEMO forecasts for minimal Victorian peak demand growth, trend analysis suggests that forecast </w:t>
                            </w:r>
                            <w:proofErr w:type="spellStart"/>
                            <w:r>
                              <w:t>augex</w:t>
                            </w:r>
                            <w:proofErr w:type="spellEnd"/>
                            <w:r>
                              <w:t xml:space="preserve"> requirements should be commensurate with the current period.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058E903" id="Text Box 16" o:spid="_x0000_s1032" type="#_x0000_t202" style="position:absolute;margin-left:-4.8pt;margin-top:8.65pt;width:406.85pt;height:2in;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" filled="f" strokeweight=".5pt">
                <v:textbox style="mso-fit-shape-to-text:t">
                  <w:txbxContent>
                    <w:p w14:paraId="46C14F16" w14:textId="77777777" w:rsidR="000655E0" w:rsidRPr="000E2AE6" w:rsidRDefault="000655E0" w:rsidP="00573251">
                      <w:pPr>
                        <w:pStyle w:val="BodytextRPC"/>
                        <w:shd w:val="clear" w:color="auto" w:fill="000000" w:themeFill="text1"/>
                      </w:pPr>
                      <w:r>
                        <w:t>Key points:</w:t>
                      </w:r>
                    </w:p>
                    <w:p w14:paraId="0103D1DE" w14:textId="27373BD7" w:rsidR="000655E0" w:rsidRDefault="000655E0" w:rsidP="000F32EE">
                      <w:pPr>
                        <w:pStyle w:val="BodytextRPC"/>
                        <w:numPr>
                          <w:ilvl w:val="0"/>
                          <w:numId w:val="15"/>
                        </w:numPr>
                        <w:ind w:left="426"/>
                      </w:pPr>
                      <w:r>
                        <w:t xml:space="preserve">An analysis of capex trends discovers a range of indicators that the capex claims in the revised proposals exceed the requirements of the networks.  </w:t>
                      </w:r>
                    </w:p>
                    <w:p w14:paraId="7F4E38A5" w14:textId="49FB38DC" w:rsidR="000655E0" w:rsidRPr="000E2AE6" w:rsidRDefault="000655E0" w:rsidP="000F32EE">
                      <w:pPr>
                        <w:pStyle w:val="BodytextRPC"/>
                        <w:numPr>
                          <w:ilvl w:val="0"/>
                          <w:numId w:val="15"/>
                        </w:numPr>
                        <w:ind w:left="426"/>
                      </w:pPr>
                      <w:proofErr w:type="spellStart"/>
                      <w:r>
                        <w:t>Repex</w:t>
                      </w:r>
                      <w:proofErr w:type="spellEnd"/>
                      <w:r>
                        <w:t xml:space="preserve"> proposals are higher than for the last period, and significantly higher than historical levels.</w:t>
                      </w:r>
                    </w:p>
                    <w:p w14:paraId="346B67BC" w14:textId="5A3E02D9" w:rsidR="000655E0" w:rsidRPr="000E2AE6" w:rsidRDefault="000655E0" w:rsidP="000F32EE">
                      <w:pPr>
                        <w:pStyle w:val="BodytextRPC"/>
                        <w:numPr>
                          <w:ilvl w:val="0"/>
                          <w:numId w:val="15"/>
                        </w:numPr>
                        <w:ind w:left="426"/>
                      </w:pPr>
                      <w:r>
                        <w:t xml:space="preserve">In the context of AEMO forecasts for minimal Victorian peak demand growth, trend analysis suggests that forecast </w:t>
                      </w:r>
                      <w:proofErr w:type="spellStart"/>
                      <w:r>
                        <w:t>augex</w:t>
                      </w:r>
                      <w:proofErr w:type="spellEnd"/>
                      <w:r>
                        <w:t xml:space="preserve"> requirements should be commensurate with the current period. </w:t>
                      </w:r>
                    </w:p>
                  </w:txbxContent>
                </v:textbox>
              </v:shape>
            </w:pict>
          </mc:Fallback>
        </mc:AlternateContent>
      </w:r>
    </w:p>
    <w:p w14:paraId="7366499F" w14:textId="36CA2FA9" w:rsidR="00B23081" w:rsidRPr="00390B8E" w:rsidRDefault="00B23081" w:rsidP="008B0314">
      <w:pPr>
        <w:pStyle w:val="BodytextRPC"/>
        <w:rPr>
          <w:color w:val="000000" w:themeColor="text1"/>
        </w:rPr>
      </w:pPr>
    </w:p>
    <w:p w14:paraId="051BAD47" w14:textId="77777777" w:rsidR="00B23081" w:rsidRPr="00390B8E" w:rsidRDefault="00B23081" w:rsidP="008B0314">
      <w:pPr>
        <w:pStyle w:val="BodytextRPC"/>
        <w:rPr>
          <w:color w:val="000000" w:themeColor="text1"/>
        </w:rPr>
      </w:pPr>
    </w:p>
    <w:p w14:paraId="5E436950" w14:textId="3620A919" w:rsidR="003072BF" w:rsidRPr="00390B8E" w:rsidRDefault="003072BF" w:rsidP="00573251">
      <w:pPr>
        <w:pStyle w:val="BodytextRPC"/>
        <w:keepNext/>
        <w:rPr>
          <w:color w:val="000000" w:themeColor="text1"/>
        </w:rPr>
      </w:pPr>
    </w:p>
    <w:p w14:paraId="456AF08D" w14:textId="77777777" w:rsidR="003072BF" w:rsidRPr="00390B8E" w:rsidRDefault="003072BF" w:rsidP="00573251">
      <w:pPr>
        <w:pStyle w:val="BodytextRPC"/>
        <w:keepNext/>
        <w:rPr>
          <w:color w:val="000000" w:themeColor="text1"/>
        </w:rPr>
      </w:pPr>
    </w:p>
    <w:p w14:paraId="639FB774" w14:textId="014DCB24" w:rsidR="00740D9F" w:rsidRPr="00390B8E" w:rsidRDefault="00740D9F" w:rsidP="00573251">
      <w:pPr>
        <w:pStyle w:val="BodytextRPC"/>
        <w:keepNext/>
        <w:rPr>
          <w:color w:val="000000" w:themeColor="text1"/>
        </w:rPr>
      </w:pPr>
    </w:p>
    <w:p w14:paraId="1FB7388D" w14:textId="53013906" w:rsidR="00740D9F" w:rsidRPr="00390B8E" w:rsidRDefault="00740D9F" w:rsidP="00573251">
      <w:pPr>
        <w:pStyle w:val="BodytextRPC"/>
        <w:keepNext/>
        <w:rPr>
          <w:color w:val="000000" w:themeColor="text1"/>
        </w:rPr>
      </w:pPr>
    </w:p>
    <w:p w14:paraId="63906A4A" w14:textId="278181B4" w:rsidR="0001709C" w:rsidRPr="00390B8E" w:rsidRDefault="00D81AC7" w:rsidP="00815A88">
      <w:pPr>
        <w:pStyle w:val="Heading1"/>
        <w:numPr>
          <w:ilvl w:val="0"/>
          <w:numId w:val="11"/>
        </w:numPr>
        <w:rPr>
          <w:rFonts w:asciiTheme="minorHAnsi" w:hAnsiTheme="minorHAnsi" w:cstheme="minorHAnsi"/>
        </w:rPr>
      </w:pPr>
      <w:bookmarkStart w:id="37" w:name="_Toc38283925"/>
      <w:bookmarkStart w:id="38" w:name="_Toc61341289"/>
      <w:bookmarkEnd w:id="29"/>
      <w:r w:rsidRPr="00390B8E">
        <w:rPr>
          <w:rFonts w:asciiTheme="minorHAnsi" w:hAnsiTheme="minorHAnsi" w:cstheme="minorHAnsi"/>
        </w:rPr>
        <w:t>DER expenditure</w:t>
      </w:r>
      <w:bookmarkEnd w:id="38"/>
    </w:p>
    <w:p w14:paraId="24265E79" w14:textId="0914FAD1" w:rsidR="000C5C1C" w:rsidRPr="00390B8E" w:rsidRDefault="00D22D20" w:rsidP="000C5C1C">
      <w:pPr>
        <w:pStyle w:val="BodytextRPC"/>
        <w:rPr>
          <w:rFonts w:asciiTheme="minorHAnsi" w:hAnsiTheme="minorHAnsi" w:cstheme="minorHAnsi"/>
          <w:color w:val="000000" w:themeColor="text1"/>
        </w:rPr>
      </w:pPr>
      <w:bookmarkStart w:id="39" w:name="_Toc38283926"/>
      <w:bookmarkEnd w:id="37"/>
      <w:r w:rsidRPr="00390B8E">
        <w:rPr>
          <w:rFonts w:asciiTheme="minorHAnsi" w:hAnsiTheme="minorHAnsi" w:cstheme="minorHAnsi"/>
          <w:color w:val="000000" w:themeColor="text1"/>
        </w:rPr>
        <w:t xml:space="preserve">The AER undertook a detailed assessment of the DER expenditure for </w:t>
      </w:r>
      <w:r w:rsidR="008966AF" w:rsidRPr="00390B8E">
        <w:rPr>
          <w:rFonts w:asciiTheme="minorHAnsi" w:hAnsiTheme="minorHAnsi" w:cstheme="minorHAnsi"/>
          <w:color w:val="000000" w:themeColor="text1"/>
        </w:rPr>
        <w:t xml:space="preserve">CPPALUE. Less extensive assessment was undertaken for </w:t>
      </w:r>
      <w:r w:rsidR="00E747D5" w:rsidRPr="00390B8E">
        <w:rPr>
          <w:rFonts w:asciiTheme="minorHAnsi" w:hAnsiTheme="minorHAnsi" w:cstheme="minorHAnsi"/>
          <w:color w:val="000000" w:themeColor="text1"/>
        </w:rPr>
        <w:t xml:space="preserve">Jemena and </w:t>
      </w:r>
      <w:r w:rsidR="00B46557" w:rsidRPr="00390B8E">
        <w:rPr>
          <w:rFonts w:asciiTheme="minorHAnsi" w:hAnsiTheme="minorHAnsi" w:cstheme="minorHAnsi"/>
          <w:color w:val="000000" w:themeColor="text1"/>
        </w:rPr>
        <w:t>AusNet</w:t>
      </w:r>
      <w:r w:rsidR="008966AF" w:rsidRPr="00390B8E">
        <w:rPr>
          <w:rFonts w:asciiTheme="minorHAnsi" w:hAnsiTheme="minorHAnsi" w:cstheme="minorHAnsi"/>
          <w:color w:val="000000" w:themeColor="text1"/>
        </w:rPr>
        <w:t xml:space="preserve"> Services, given that</w:t>
      </w:r>
      <w:r w:rsidR="00E747D5" w:rsidRPr="00390B8E">
        <w:rPr>
          <w:rFonts w:asciiTheme="minorHAnsi" w:hAnsiTheme="minorHAnsi" w:cstheme="minorHAnsi"/>
          <w:color w:val="000000" w:themeColor="text1"/>
        </w:rPr>
        <w:t xml:space="preserve"> overall capex was deemed capable of acceptance</w:t>
      </w:r>
      <w:r w:rsidR="008966AF" w:rsidRPr="00390B8E">
        <w:rPr>
          <w:rFonts w:asciiTheme="minorHAnsi" w:hAnsiTheme="minorHAnsi" w:cstheme="minorHAnsi"/>
          <w:color w:val="000000" w:themeColor="text1"/>
        </w:rPr>
        <w:t xml:space="preserve"> for these networks, although the AER </w:t>
      </w:r>
      <w:r w:rsidR="007D49DF" w:rsidRPr="00390B8E">
        <w:rPr>
          <w:rFonts w:asciiTheme="minorHAnsi" w:hAnsiTheme="minorHAnsi" w:cstheme="minorHAnsi"/>
          <w:color w:val="000000" w:themeColor="text1"/>
        </w:rPr>
        <w:t xml:space="preserve">flagged </w:t>
      </w:r>
      <w:r w:rsidR="00B46557" w:rsidRPr="00390B8E">
        <w:rPr>
          <w:rFonts w:asciiTheme="minorHAnsi" w:hAnsiTheme="minorHAnsi" w:cstheme="minorHAnsi"/>
          <w:color w:val="000000" w:themeColor="text1"/>
        </w:rPr>
        <w:t>potential issues with the assumptions underlying both claims</w:t>
      </w:r>
      <w:r w:rsidR="00E747D5" w:rsidRPr="00390B8E">
        <w:rPr>
          <w:rFonts w:asciiTheme="minorHAnsi" w:hAnsiTheme="minorHAnsi" w:cstheme="minorHAnsi"/>
          <w:color w:val="000000" w:themeColor="text1"/>
        </w:rPr>
        <w:t>.</w:t>
      </w:r>
    </w:p>
    <w:p w14:paraId="28FDD727" w14:textId="7B2D9923" w:rsidR="00BB7909" w:rsidRPr="00390B8E" w:rsidRDefault="00BB7909" w:rsidP="007D49DF">
      <w:pPr>
        <w:pStyle w:val="Heading2"/>
      </w:pPr>
      <w:bookmarkStart w:id="40" w:name="_Toc61341290"/>
      <w:r w:rsidRPr="00390B8E">
        <w:t>CPPALUE</w:t>
      </w:r>
      <w:r w:rsidR="007D49DF" w:rsidRPr="00390B8E">
        <w:t xml:space="preserve"> DER expenditure</w:t>
      </w:r>
      <w:bookmarkEnd w:id="40"/>
    </w:p>
    <w:p w14:paraId="26CB8EEC" w14:textId="6E1010E2" w:rsidR="00894A0E" w:rsidRPr="00390B8E" w:rsidRDefault="00843D3C" w:rsidP="00206F0A">
      <w:pPr>
        <w:pStyle w:val="BodytextRPC"/>
        <w:rPr>
          <w:rFonts w:asciiTheme="minorHAnsi" w:hAnsiTheme="minorHAnsi" w:cstheme="minorHAnsi"/>
          <w:color w:val="000000" w:themeColor="text1"/>
        </w:rPr>
      </w:pPr>
      <w:r w:rsidRPr="00390B8E">
        <w:rPr>
          <w:rFonts w:asciiTheme="minorHAnsi" w:hAnsiTheme="minorHAnsi" w:cstheme="minorHAnsi"/>
          <w:color w:val="000000" w:themeColor="text1"/>
        </w:rPr>
        <w:t xml:space="preserve">The AER reduced the </w:t>
      </w:r>
      <w:r w:rsidR="00FA5204" w:rsidRPr="00390B8E">
        <w:rPr>
          <w:rFonts w:asciiTheme="minorHAnsi" w:hAnsiTheme="minorHAnsi" w:cstheme="minorHAnsi"/>
          <w:color w:val="000000" w:themeColor="text1"/>
        </w:rPr>
        <w:t>allowance</w:t>
      </w:r>
      <w:r w:rsidRPr="00390B8E">
        <w:rPr>
          <w:rFonts w:asciiTheme="minorHAnsi" w:hAnsiTheme="minorHAnsi" w:cstheme="minorHAnsi"/>
          <w:color w:val="000000" w:themeColor="text1"/>
        </w:rPr>
        <w:t xml:space="preserve"> for </w:t>
      </w:r>
      <w:r w:rsidR="00FA5204" w:rsidRPr="00390B8E">
        <w:rPr>
          <w:rFonts w:asciiTheme="minorHAnsi" w:hAnsiTheme="minorHAnsi" w:cstheme="minorHAnsi"/>
          <w:color w:val="000000" w:themeColor="text1"/>
        </w:rPr>
        <w:t>expenditure on</w:t>
      </w:r>
      <w:r w:rsidRPr="00390B8E">
        <w:rPr>
          <w:rFonts w:asciiTheme="minorHAnsi" w:hAnsiTheme="minorHAnsi" w:cstheme="minorHAnsi"/>
          <w:color w:val="000000" w:themeColor="text1"/>
        </w:rPr>
        <w:t xml:space="preserve"> DER integration </w:t>
      </w:r>
      <w:r w:rsidR="00FA5204" w:rsidRPr="00390B8E">
        <w:rPr>
          <w:rFonts w:asciiTheme="minorHAnsi" w:hAnsiTheme="minorHAnsi" w:cstheme="minorHAnsi"/>
          <w:color w:val="000000" w:themeColor="text1"/>
        </w:rPr>
        <w:t xml:space="preserve">for the </w:t>
      </w:r>
      <w:r w:rsidR="00BB7909" w:rsidRPr="00390B8E">
        <w:rPr>
          <w:rFonts w:asciiTheme="minorHAnsi" w:hAnsiTheme="minorHAnsi" w:cstheme="minorHAnsi"/>
          <w:color w:val="000000" w:themeColor="text1"/>
        </w:rPr>
        <w:t>CPPALUE</w:t>
      </w:r>
      <w:r w:rsidR="00FA5204" w:rsidRPr="00390B8E">
        <w:rPr>
          <w:rFonts w:asciiTheme="minorHAnsi" w:hAnsiTheme="minorHAnsi" w:cstheme="minorHAnsi"/>
          <w:color w:val="000000" w:themeColor="text1"/>
        </w:rPr>
        <w:t xml:space="preserve"> networks </w:t>
      </w:r>
      <w:r w:rsidR="00E747D5" w:rsidRPr="00390B8E">
        <w:rPr>
          <w:rFonts w:asciiTheme="minorHAnsi" w:hAnsiTheme="minorHAnsi" w:cstheme="minorHAnsi"/>
          <w:color w:val="000000" w:themeColor="text1"/>
        </w:rPr>
        <w:t>due to deviations in the assumptions of their business case</w:t>
      </w:r>
      <w:r w:rsidR="006A5B07" w:rsidRPr="00390B8E">
        <w:rPr>
          <w:rFonts w:asciiTheme="minorHAnsi" w:hAnsiTheme="minorHAnsi" w:cstheme="minorHAnsi"/>
          <w:color w:val="000000" w:themeColor="text1"/>
        </w:rPr>
        <w:t xml:space="preserve"> assessment </w:t>
      </w:r>
      <w:r w:rsidR="00E747D5" w:rsidRPr="00390B8E">
        <w:rPr>
          <w:rFonts w:asciiTheme="minorHAnsi" w:hAnsiTheme="minorHAnsi" w:cstheme="minorHAnsi"/>
          <w:color w:val="000000" w:themeColor="text1"/>
        </w:rPr>
        <w:t xml:space="preserve">from </w:t>
      </w:r>
      <w:r w:rsidR="00E747D5" w:rsidRPr="00390B8E">
        <w:rPr>
          <w:rFonts w:asciiTheme="minorHAnsi" w:hAnsiTheme="minorHAnsi" w:cstheme="minorHAnsi"/>
          <w:color w:val="000000" w:themeColor="text1"/>
        </w:rPr>
        <w:lastRenderedPageBreak/>
        <w:t xml:space="preserve">accepted </w:t>
      </w:r>
      <w:r w:rsidR="00894A0E" w:rsidRPr="00390B8E">
        <w:rPr>
          <w:rFonts w:asciiTheme="minorHAnsi" w:hAnsiTheme="minorHAnsi" w:cstheme="minorHAnsi"/>
          <w:color w:val="000000" w:themeColor="text1"/>
        </w:rPr>
        <w:t>standards</w:t>
      </w:r>
      <w:r w:rsidR="00D63510" w:rsidRPr="00390B8E">
        <w:rPr>
          <w:rFonts w:asciiTheme="minorHAnsi" w:hAnsiTheme="minorHAnsi" w:cstheme="minorHAnsi"/>
          <w:color w:val="000000" w:themeColor="text1"/>
        </w:rPr>
        <w:t xml:space="preserve"> (</w:t>
      </w:r>
      <w:r w:rsidR="00B3139E" w:rsidRPr="00390B8E">
        <w:rPr>
          <w:rFonts w:asciiTheme="minorHAnsi" w:hAnsiTheme="minorHAnsi" w:cstheme="minorHAnsi"/>
          <w:color w:val="000000" w:themeColor="text1"/>
        </w:rPr>
        <w:t xml:space="preserve">such as the </w:t>
      </w:r>
      <w:r w:rsidR="00D95791" w:rsidRPr="00390B8E">
        <w:rPr>
          <w:rFonts w:asciiTheme="minorHAnsi" w:hAnsiTheme="minorHAnsi" w:cstheme="minorHAnsi"/>
          <w:color w:val="000000" w:themeColor="text1"/>
        </w:rPr>
        <w:t>NPV period</w:t>
      </w:r>
      <w:r w:rsidR="00D63510" w:rsidRPr="00390B8E">
        <w:rPr>
          <w:rFonts w:asciiTheme="minorHAnsi" w:hAnsiTheme="minorHAnsi" w:cstheme="minorHAnsi"/>
          <w:color w:val="000000" w:themeColor="text1"/>
        </w:rPr>
        <w:t>)</w:t>
      </w:r>
      <w:r w:rsidR="006A5B07" w:rsidRPr="00390B8E">
        <w:rPr>
          <w:rFonts w:asciiTheme="minorHAnsi" w:hAnsiTheme="minorHAnsi" w:cstheme="minorHAnsi"/>
          <w:color w:val="000000" w:themeColor="text1"/>
        </w:rPr>
        <w:t>.</w:t>
      </w:r>
      <w:r w:rsidR="00894A0E" w:rsidRPr="00390B8E">
        <w:rPr>
          <w:rFonts w:asciiTheme="minorHAnsi" w:hAnsiTheme="minorHAnsi" w:cstheme="minorHAnsi"/>
          <w:color w:val="000000" w:themeColor="text1"/>
        </w:rPr>
        <w:t xml:space="preserve"> </w:t>
      </w:r>
      <w:r w:rsidR="00D63510" w:rsidRPr="00390B8E">
        <w:rPr>
          <w:rFonts w:asciiTheme="minorHAnsi" w:hAnsiTheme="minorHAnsi" w:cstheme="minorHAnsi"/>
          <w:color w:val="000000" w:themeColor="text1"/>
        </w:rPr>
        <w:t>In general terms</w:t>
      </w:r>
      <w:r w:rsidR="00E01769" w:rsidRPr="00390B8E">
        <w:rPr>
          <w:rFonts w:asciiTheme="minorHAnsi" w:hAnsiTheme="minorHAnsi" w:cstheme="minorHAnsi"/>
          <w:color w:val="000000" w:themeColor="text1"/>
        </w:rPr>
        <w:t xml:space="preserve">, </w:t>
      </w:r>
      <w:r w:rsidR="007D49DF" w:rsidRPr="00390B8E">
        <w:rPr>
          <w:rFonts w:asciiTheme="minorHAnsi" w:hAnsiTheme="minorHAnsi" w:cstheme="minorHAnsi"/>
          <w:color w:val="000000" w:themeColor="text1"/>
        </w:rPr>
        <w:t>CPPALUE’s</w:t>
      </w:r>
      <w:r w:rsidR="00894A0E" w:rsidRPr="00390B8E">
        <w:rPr>
          <w:rFonts w:asciiTheme="minorHAnsi" w:hAnsiTheme="minorHAnsi" w:cstheme="minorHAnsi"/>
          <w:color w:val="000000" w:themeColor="text1"/>
        </w:rPr>
        <w:t xml:space="preserve"> physical network augmentation spending allowance was reduced, while the budget for </w:t>
      </w:r>
      <w:r w:rsidR="007D3F83" w:rsidRPr="00390B8E">
        <w:rPr>
          <w:rFonts w:asciiTheme="minorHAnsi" w:hAnsiTheme="minorHAnsi" w:cstheme="minorHAnsi"/>
          <w:color w:val="000000" w:themeColor="text1"/>
        </w:rPr>
        <w:t xml:space="preserve">developing </w:t>
      </w:r>
      <w:r w:rsidR="00894A0E" w:rsidRPr="00390B8E">
        <w:rPr>
          <w:rFonts w:asciiTheme="minorHAnsi" w:hAnsiTheme="minorHAnsi" w:cstheme="minorHAnsi"/>
          <w:color w:val="000000" w:themeColor="text1"/>
        </w:rPr>
        <w:t xml:space="preserve">smart grid </w:t>
      </w:r>
      <w:r w:rsidR="007D3F83" w:rsidRPr="00390B8E">
        <w:rPr>
          <w:rFonts w:asciiTheme="minorHAnsi" w:hAnsiTheme="minorHAnsi" w:cstheme="minorHAnsi"/>
          <w:color w:val="000000" w:themeColor="text1"/>
        </w:rPr>
        <w:t>capabilities</w:t>
      </w:r>
      <w:r w:rsidR="00894A0E" w:rsidRPr="00390B8E">
        <w:rPr>
          <w:rFonts w:asciiTheme="minorHAnsi" w:hAnsiTheme="minorHAnsi" w:cstheme="minorHAnsi"/>
          <w:color w:val="000000" w:themeColor="text1"/>
        </w:rPr>
        <w:t xml:space="preserve"> was allowed.</w:t>
      </w:r>
    </w:p>
    <w:p w14:paraId="69AA561C" w14:textId="7EF1ABFE" w:rsidR="00934EFA" w:rsidRPr="00390B8E" w:rsidRDefault="00894A0E" w:rsidP="00206F0A">
      <w:pPr>
        <w:pStyle w:val="BodytextRPC"/>
        <w:rPr>
          <w:rFonts w:asciiTheme="minorHAnsi" w:hAnsiTheme="minorHAnsi" w:cstheme="minorHAnsi"/>
          <w:color w:val="000000" w:themeColor="text1"/>
        </w:rPr>
      </w:pPr>
      <w:r w:rsidRPr="00390B8E">
        <w:rPr>
          <w:rFonts w:asciiTheme="minorHAnsi" w:hAnsiTheme="minorHAnsi" w:cstheme="minorHAnsi"/>
          <w:color w:val="000000" w:themeColor="text1"/>
        </w:rPr>
        <w:t xml:space="preserve">VCO supports </w:t>
      </w:r>
      <w:r w:rsidR="00D63510" w:rsidRPr="00390B8E">
        <w:rPr>
          <w:rFonts w:asciiTheme="minorHAnsi" w:hAnsiTheme="minorHAnsi" w:cstheme="minorHAnsi"/>
          <w:color w:val="000000" w:themeColor="text1"/>
        </w:rPr>
        <w:t xml:space="preserve">this approach </w:t>
      </w:r>
      <w:r w:rsidR="00934EFA" w:rsidRPr="00390B8E">
        <w:rPr>
          <w:rFonts w:asciiTheme="minorHAnsi" w:hAnsiTheme="minorHAnsi" w:cstheme="minorHAnsi"/>
          <w:color w:val="000000" w:themeColor="text1"/>
        </w:rPr>
        <w:t xml:space="preserve">in line with our position that we </w:t>
      </w:r>
      <w:r w:rsidR="002C53FF" w:rsidRPr="00390B8E">
        <w:rPr>
          <w:rFonts w:asciiTheme="minorHAnsi" w:hAnsiTheme="minorHAnsi" w:cstheme="minorHAnsi"/>
          <w:color w:val="000000" w:themeColor="text1"/>
        </w:rPr>
        <w:t xml:space="preserve">share and </w:t>
      </w:r>
      <w:r w:rsidR="00934EFA" w:rsidRPr="00390B8E">
        <w:rPr>
          <w:rFonts w:asciiTheme="minorHAnsi" w:hAnsiTheme="minorHAnsi" w:cstheme="minorHAnsi"/>
          <w:color w:val="000000" w:themeColor="text1"/>
        </w:rPr>
        <w:t xml:space="preserve">recognise broad support for investment to accommodate DER, but also understand </w:t>
      </w:r>
      <w:r w:rsidR="002C53FF" w:rsidRPr="00390B8E">
        <w:rPr>
          <w:rFonts w:asciiTheme="minorHAnsi" w:hAnsiTheme="minorHAnsi" w:cstheme="minorHAnsi"/>
          <w:color w:val="000000" w:themeColor="text1"/>
        </w:rPr>
        <w:t xml:space="preserve">the importance that it </w:t>
      </w:r>
      <w:proofErr w:type="gramStart"/>
      <w:r w:rsidR="002C53FF" w:rsidRPr="00390B8E">
        <w:rPr>
          <w:rFonts w:asciiTheme="minorHAnsi" w:hAnsiTheme="minorHAnsi" w:cstheme="minorHAnsi"/>
          <w:color w:val="000000" w:themeColor="text1"/>
        </w:rPr>
        <w:t>demonstrate</w:t>
      </w:r>
      <w:proofErr w:type="gramEnd"/>
      <w:r w:rsidR="002C53FF" w:rsidRPr="00390B8E">
        <w:rPr>
          <w:rFonts w:asciiTheme="minorHAnsi" w:hAnsiTheme="minorHAnsi" w:cstheme="minorHAnsi"/>
          <w:color w:val="000000" w:themeColor="text1"/>
        </w:rPr>
        <w:t xml:space="preserve"> </w:t>
      </w:r>
      <w:r w:rsidR="00934EFA" w:rsidRPr="00390B8E">
        <w:rPr>
          <w:rFonts w:asciiTheme="minorHAnsi" w:hAnsiTheme="minorHAnsi" w:cstheme="minorHAnsi"/>
          <w:color w:val="000000" w:themeColor="text1"/>
        </w:rPr>
        <w:t xml:space="preserve">benefits. </w:t>
      </w:r>
    </w:p>
    <w:p w14:paraId="0E34DD16" w14:textId="77777777" w:rsidR="00081A52" w:rsidRPr="00390B8E" w:rsidRDefault="002A1033" w:rsidP="00206F0A">
      <w:pPr>
        <w:pStyle w:val="BodytextRPC"/>
        <w:rPr>
          <w:rFonts w:asciiTheme="minorHAnsi" w:hAnsiTheme="minorHAnsi" w:cstheme="minorHAnsi"/>
          <w:color w:val="000000" w:themeColor="text1"/>
        </w:rPr>
      </w:pPr>
      <w:r w:rsidRPr="00390B8E">
        <w:rPr>
          <w:rFonts w:asciiTheme="minorHAnsi" w:hAnsiTheme="minorHAnsi" w:cstheme="minorHAnsi"/>
          <w:color w:val="000000" w:themeColor="text1"/>
        </w:rPr>
        <w:t xml:space="preserve">CPPALUE made a strong case for smart-grid programs such as dynamic voltage management, and that many of the functions of the proposed platform, such as dynamic operating envelopes will be necessary as the grid develops whatever the ultimate level of DER uptake will be. </w:t>
      </w:r>
    </w:p>
    <w:p w14:paraId="21AB97F6" w14:textId="67F69061" w:rsidR="002A1033" w:rsidRPr="00390B8E" w:rsidRDefault="00AB08E3" w:rsidP="00206F0A">
      <w:pPr>
        <w:pStyle w:val="BodytextRPC"/>
        <w:rPr>
          <w:rFonts w:asciiTheme="minorHAnsi" w:hAnsiTheme="minorHAnsi" w:cstheme="minorHAnsi"/>
          <w:color w:val="000000" w:themeColor="text1"/>
        </w:rPr>
      </w:pPr>
      <w:r w:rsidRPr="00390B8E">
        <w:rPr>
          <w:rFonts w:asciiTheme="minorHAnsi" w:hAnsiTheme="minorHAnsi" w:cstheme="minorHAnsi"/>
          <w:color w:val="000000" w:themeColor="text1"/>
        </w:rPr>
        <w:t>These functionalities will allow</w:t>
      </w:r>
      <w:r w:rsidR="00081A52" w:rsidRPr="00390B8E">
        <w:rPr>
          <w:rFonts w:asciiTheme="minorHAnsi" w:hAnsiTheme="minorHAnsi" w:cstheme="minorHAnsi"/>
          <w:color w:val="000000" w:themeColor="text1"/>
        </w:rPr>
        <w:t xml:space="preserve"> network constraints to be safely managed while significantly reducing the need to restrict </w:t>
      </w:r>
      <w:r w:rsidR="00E81835" w:rsidRPr="00390B8E">
        <w:rPr>
          <w:rFonts w:asciiTheme="minorHAnsi" w:hAnsiTheme="minorHAnsi" w:cstheme="minorHAnsi"/>
          <w:color w:val="000000" w:themeColor="text1"/>
        </w:rPr>
        <w:t xml:space="preserve">customers from installing PV and connecting to the network. </w:t>
      </w:r>
      <w:r w:rsidR="007D3F83" w:rsidRPr="00390B8E">
        <w:rPr>
          <w:rFonts w:asciiTheme="minorHAnsi" w:hAnsiTheme="minorHAnsi" w:cstheme="minorHAnsi"/>
          <w:color w:val="000000" w:themeColor="text1"/>
        </w:rPr>
        <w:t>Consumers hope that e</w:t>
      </w:r>
      <w:r w:rsidR="00E81835" w:rsidRPr="00390B8E">
        <w:rPr>
          <w:rFonts w:asciiTheme="minorHAnsi" w:hAnsiTheme="minorHAnsi" w:cstheme="minorHAnsi"/>
          <w:color w:val="000000" w:themeColor="text1"/>
        </w:rPr>
        <w:t xml:space="preserve">stablishing and operating these systems </w:t>
      </w:r>
      <w:r w:rsidR="007D3F83" w:rsidRPr="00390B8E">
        <w:rPr>
          <w:rFonts w:asciiTheme="minorHAnsi" w:hAnsiTheme="minorHAnsi" w:cstheme="minorHAnsi"/>
          <w:color w:val="000000" w:themeColor="text1"/>
        </w:rPr>
        <w:t>will</w:t>
      </w:r>
      <w:r w:rsidR="00E81835" w:rsidRPr="00390B8E">
        <w:rPr>
          <w:rFonts w:asciiTheme="minorHAnsi" w:hAnsiTheme="minorHAnsi" w:cstheme="minorHAnsi"/>
          <w:color w:val="000000" w:themeColor="text1"/>
        </w:rPr>
        <w:t xml:space="preserve"> inform a more detailed and specific understanding of where </w:t>
      </w:r>
      <w:proofErr w:type="spellStart"/>
      <w:r w:rsidR="00E81835" w:rsidRPr="00390B8E">
        <w:rPr>
          <w:rFonts w:asciiTheme="minorHAnsi" w:hAnsiTheme="minorHAnsi" w:cstheme="minorHAnsi"/>
          <w:color w:val="000000" w:themeColor="text1"/>
        </w:rPr>
        <w:t>augex</w:t>
      </w:r>
      <w:proofErr w:type="spellEnd"/>
      <w:r w:rsidR="00E81835" w:rsidRPr="00390B8E">
        <w:rPr>
          <w:rFonts w:asciiTheme="minorHAnsi" w:hAnsiTheme="minorHAnsi" w:cstheme="minorHAnsi"/>
          <w:color w:val="000000" w:themeColor="text1"/>
        </w:rPr>
        <w:t xml:space="preserve"> is required to enable DER integration, and where </w:t>
      </w:r>
      <w:r w:rsidR="007D3F83" w:rsidRPr="00390B8E">
        <w:rPr>
          <w:rFonts w:asciiTheme="minorHAnsi" w:hAnsiTheme="minorHAnsi" w:cstheme="minorHAnsi"/>
          <w:color w:val="000000" w:themeColor="text1"/>
        </w:rPr>
        <w:t>this</w:t>
      </w:r>
      <w:r w:rsidR="00E81835" w:rsidRPr="00390B8E">
        <w:rPr>
          <w:rFonts w:asciiTheme="minorHAnsi" w:hAnsiTheme="minorHAnsi" w:cstheme="minorHAnsi"/>
          <w:color w:val="000000" w:themeColor="text1"/>
        </w:rPr>
        <w:t xml:space="preserve"> provides a net benefit to customers.      </w:t>
      </w:r>
      <w:r w:rsidR="00081A52" w:rsidRPr="00390B8E">
        <w:rPr>
          <w:rFonts w:asciiTheme="minorHAnsi" w:hAnsiTheme="minorHAnsi" w:cstheme="minorHAnsi"/>
          <w:color w:val="000000" w:themeColor="text1"/>
        </w:rPr>
        <w:t xml:space="preserve"> </w:t>
      </w:r>
      <w:r w:rsidRPr="00390B8E">
        <w:rPr>
          <w:rFonts w:asciiTheme="minorHAnsi" w:hAnsiTheme="minorHAnsi" w:cstheme="minorHAnsi"/>
          <w:color w:val="000000" w:themeColor="text1"/>
        </w:rPr>
        <w:t xml:space="preserve">    </w:t>
      </w:r>
    </w:p>
    <w:p w14:paraId="2807A2FD" w14:textId="7F84BDED" w:rsidR="002C53FF" w:rsidRPr="00390B8E" w:rsidRDefault="00B46557" w:rsidP="002C53FF">
      <w:pPr>
        <w:pStyle w:val="Heading2"/>
      </w:pPr>
      <w:bookmarkStart w:id="41" w:name="_Toc61341291"/>
      <w:r w:rsidRPr="00390B8E">
        <w:t>AusNet</w:t>
      </w:r>
      <w:r w:rsidR="002C53FF" w:rsidRPr="00390B8E">
        <w:t xml:space="preserve"> Services and Jemena DER expenditure</w:t>
      </w:r>
      <w:bookmarkEnd w:id="41"/>
    </w:p>
    <w:p w14:paraId="417A11A2" w14:textId="0AC32461" w:rsidR="00715F28" w:rsidRPr="00390B8E" w:rsidRDefault="0009297D" w:rsidP="00206F0A">
      <w:pPr>
        <w:pStyle w:val="BodytextRPC"/>
        <w:rPr>
          <w:rFonts w:asciiTheme="minorHAnsi" w:hAnsiTheme="minorHAnsi" w:cstheme="minorHAnsi"/>
          <w:color w:val="000000" w:themeColor="text1"/>
        </w:rPr>
      </w:pPr>
      <w:r w:rsidRPr="00390B8E">
        <w:rPr>
          <w:rFonts w:asciiTheme="minorHAnsi" w:hAnsiTheme="minorHAnsi" w:cstheme="minorHAnsi"/>
          <w:color w:val="000000" w:themeColor="text1"/>
        </w:rPr>
        <w:t xml:space="preserve">The AER accepted the DER proposals from </w:t>
      </w:r>
      <w:r w:rsidR="00B46557" w:rsidRPr="00390B8E">
        <w:rPr>
          <w:rFonts w:asciiTheme="minorHAnsi" w:hAnsiTheme="minorHAnsi" w:cstheme="minorHAnsi"/>
          <w:color w:val="000000" w:themeColor="text1"/>
        </w:rPr>
        <w:t>AusNet</w:t>
      </w:r>
      <w:r w:rsidRPr="00390B8E">
        <w:rPr>
          <w:rFonts w:asciiTheme="minorHAnsi" w:hAnsiTheme="minorHAnsi" w:cstheme="minorHAnsi"/>
          <w:color w:val="000000" w:themeColor="text1"/>
        </w:rPr>
        <w:t xml:space="preserve"> and Jemena in the context of </w:t>
      </w:r>
      <w:r w:rsidR="00D95791" w:rsidRPr="00390B8E">
        <w:rPr>
          <w:rFonts w:asciiTheme="minorHAnsi" w:hAnsiTheme="minorHAnsi" w:cstheme="minorHAnsi"/>
          <w:color w:val="000000" w:themeColor="text1"/>
        </w:rPr>
        <w:t>accepting</w:t>
      </w:r>
      <w:r w:rsidRPr="00390B8E">
        <w:rPr>
          <w:rFonts w:asciiTheme="minorHAnsi" w:hAnsiTheme="minorHAnsi" w:cstheme="minorHAnsi"/>
          <w:color w:val="000000" w:themeColor="text1"/>
        </w:rPr>
        <w:t xml:space="preserve"> capex </w:t>
      </w:r>
      <w:r w:rsidR="00254754" w:rsidRPr="00390B8E">
        <w:rPr>
          <w:rFonts w:asciiTheme="minorHAnsi" w:hAnsiTheme="minorHAnsi" w:cstheme="minorHAnsi"/>
          <w:color w:val="000000" w:themeColor="text1"/>
        </w:rPr>
        <w:t>overall</w:t>
      </w:r>
      <w:r w:rsidRPr="00390B8E">
        <w:rPr>
          <w:rFonts w:asciiTheme="minorHAnsi" w:hAnsiTheme="minorHAnsi" w:cstheme="minorHAnsi"/>
          <w:color w:val="000000" w:themeColor="text1"/>
        </w:rPr>
        <w:t xml:space="preserve">, despite ‘concerns about the underlying assumptions and forecasts of </w:t>
      </w:r>
      <w:r w:rsidR="00B46557" w:rsidRPr="00390B8E">
        <w:rPr>
          <w:rFonts w:asciiTheme="minorHAnsi" w:hAnsiTheme="minorHAnsi" w:cstheme="minorHAnsi"/>
          <w:color w:val="000000" w:themeColor="text1"/>
        </w:rPr>
        <w:t>AusNet</w:t>
      </w:r>
      <w:r w:rsidRPr="00390B8E">
        <w:rPr>
          <w:rFonts w:asciiTheme="minorHAnsi" w:hAnsiTheme="minorHAnsi" w:cstheme="minorHAnsi"/>
          <w:color w:val="000000" w:themeColor="text1"/>
        </w:rPr>
        <w:t xml:space="preserve"> Services' DER integration capex’</w:t>
      </w:r>
      <w:r w:rsidR="00715F28" w:rsidRPr="00390B8E">
        <w:rPr>
          <w:rStyle w:val="FootnoteReference"/>
          <w:rFonts w:cstheme="minorHAnsi"/>
          <w:color w:val="000000" w:themeColor="text1"/>
        </w:rPr>
        <w:footnoteReference w:id="24"/>
      </w:r>
      <w:r w:rsidRPr="00390B8E">
        <w:rPr>
          <w:rFonts w:asciiTheme="minorHAnsi" w:hAnsiTheme="minorHAnsi" w:cstheme="minorHAnsi"/>
          <w:color w:val="000000" w:themeColor="text1"/>
        </w:rPr>
        <w:t xml:space="preserve"> and </w:t>
      </w:r>
      <w:r w:rsidR="00AB08E3" w:rsidRPr="00390B8E">
        <w:rPr>
          <w:rFonts w:asciiTheme="minorHAnsi" w:hAnsiTheme="minorHAnsi" w:cstheme="minorHAnsi"/>
          <w:color w:val="000000" w:themeColor="text1"/>
        </w:rPr>
        <w:t xml:space="preserve">elements </w:t>
      </w:r>
      <w:r w:rsidR="00715F28" w:rsidRPr="00390B8E">
        <w:rPr>
          <w:rFonts w:asciiTheme="minorHAnsi" w:hAnsiTheme="minorHAnsi" w:cstheme="minorHAnsi"/>
          <w:color w:val="000000" w:themeColor="text1"/>
        </w:rPr>
        <w:t>‘not demonstrated against capex criteria’ for Jemena.</w:t>
      </w:r>
      <w:r w:rsidR="00715F28" w:rsidRPr="00390B8E">
        <w:rPr>
          <w:rStyle w:val="FootnoteReference"/>
          <w:rFonts w:cstheme="minorHAnsi"/>
          <w:color w:val="000000" w:themeColor="text1"/>
        </w:rPr>
        <w:footnoteReference w:id="25"/>
      </w:r>
    </w:p>
    <w:p w14:paraId="1F408E15" w14:textId="2554027D" w:rsidR="000600B9" w:rsidRPr="00390B8E" w:rsidRDefault="00DB4273" w:rsidP="00206F0A">
      <w:pPr>
        <w:pStyle w:val="BodytextRPC"/>
        <w:rPr>
          <w:rFonts w:asciiTheme="minorHAnsi" w:hAnsiTheme="minorHAnsi" w:cstheme="minorHAnsi"/>
          <w:color w:val="000000" w:themeColor="text1"/>
        </w:rPr>
      </w:pPr>
      <w:r w:rsidRPr="00390B8E">
        <w:rPr>
          <w:rFonts w:asciiTheme="minorHAnsi" w:hAnsiTheme="minorHAnsi" w:cstheme="minorHAnsi"/>
          <w:color w:val="000000" w:themeColor="text1"/>
        </w:rPr>
        <w:t xml:space="preserve">The Value of DER adopted by </w:t>
      </w:r>
      <w:r w:rsidR="00B46557" w:rsidRPr="00390B8E">
        <w:rPr>
          <w:rFonts w:asciiTheme="minorHAnsi" w:hAnsiTheme="minorHAnsi" w:cstheme="minorHAnsi"/>
          <w:color w:val="000000" w:themeColor="text1"/>
        </w:rPr>
        <w:t>AusNet</w:t>
      </w:r>
      <w:r w:rsidRPr="00390B8E">
        <w:rPr>
          <w:rFonts w:asciiTheme="minorHAnsi" w:hAnsiTheme="minorHAnsi" w:cstheme="minorHAnsi"/>
          <w:color w:val="000000" w:themeColor="text1"/>
        </w:rPr>
        <w:t xml:space="preserve"> Services differed from the approach recommended in the AER-commissioned Value of DER Study.</w:t>
      </w:r>
      <w:r w:rsidRPr="00390B8E">
        <w:rPr>
          <w:rStyle w:val="FootnoteReference"/>
          <w:rFonts w:cstheme="minorHAnsi"/>
          <w:color w:val="000000" w:themeColor="text1"/>
        </w:rPr>
        <w:footnoteReference w:id="26"/>
      </w:r>
      <w:r w:rsidRPr="00390B8E">
        <w:rPr>
          <w:rFonts w:asciiTheme="minorHAnsi" w:hAnsiTheme="minorHAnsi" w:cstheme="minorHAnsi"/>
          <w:color w:val="000000" w:themeColor="text1"/>
        </w:rPr>
        <w:t xml:space="preserve"> The AER also queried Jemena’s assumption that </w:t>
      </w:r>
      <w:r w:rsidR="004C0537" w:rsidRPr="00390B8E">
        <w:rPr>
          <w:rFonts w:asciiTheme="minorHAnsi" w:hAnsiTheme="minorHAnsi" w:cstheme="minorHAnsi"/>
          <w:color w:val="000000" w:themeColor="text1"/>
        </w:rPr>
        <w:t>interventions</w:t>
      </w:r>
      <w:r w:rsidRPr="00390B8E">
        <w:rPr>
          <w:rFonts w:asciiTheme="minorHAnsi" w:hAnsiTheme="minorHAnsi" w:cstheme="minorHAnsi"/>
          <w:color w:val="000000" w:themeColor="text1"/>
        </w:rPr>
        <w:t xml:space="preserve"> would be required where penetration reached 30% - despite other networks </w:t>
      </w:r>
      <w:r w:rsidR="000600B9" w:rsidRPr="00390B8E">
        <w:rPr>
          <w:rFonts w:asciiTheme="minorHAnsi" w:hAnsiTheme="minorHAnsi" w:cstheme="minorHAnsi"/>
          <w:color w:val="000000" w:themeColor="text1"/>
        </w:rPr>
        <w:t xml:space="preserve">demonstrating </w:t>
      </w:r>
      <w:r w:rsidRPr="00390B8E">
        <w:rPr>
          <w:rFonts w:asciiTheme="minorHAnsi" w:hAnsiTheme="minorHAnsi" w:cstheme="minorHAnsi"/>
          <w:color w:val="000000" w:themeColor="text1"/>
        </w:rPr>
        <w:t xml:space="preserve">that </w:t>
      </w:r>
      <w:r w:rsidR="000600B9" w:rsidRPr="00390B8E">
        <w:rPr>
          <w:rFonts w:asciiTheme="minorHAnsi" w:hAnsiTheme="minorHAnsi" w:cstheme="minorHAnsi"/>
          <w:color w:val="000000" w:themeColor="text1"/>
        </w:rPr>
        <w:t xml:space="preserve">higher penetrations can be achieved than the point at which issues first emerge. </w:t>
      </w:r>
    </w:p>
    <w:p w14:paraId="0C0B88F2" w14:textId="45AC7718" w:rsidR="00BE331A" w:rsidRPr="00390B8E" w:rsidRDefault="00D712EA" w:rsidP="00206F0A">
      <w:pPr>
        <w:pStyle w:val="BodytextRPC"/>
        <w:rPr>
          <w:rFonts w:asciiTheme="minorHAnsi" w:hAnsiTheme="minorHAnsi" w:cstheme="minorHAnsi"/>
          <w:color w:val="000000" w:themeColor="text1"/>
        </w:rPr>
      </w:pPr>
      <w:r w:rsidRPr="00390B8E">
        <w:rPr>
          <w:rFonts w:asciiTheme="minorHAnsi" w:hAnsiTheme="minorHAnsi" w:cstheme="minorHAnsi"/>
          <w:color w:val="000000" w:themeColor="text1"/>
        </w:rPr>
        <w:t xml:space="preserve">Compared to the businesses for whom </w:t>
      </w:r>
      <w:r w:rsidR="004C0537" w:rsidRPr="00390B8E">
        <w:rPr>
          <w:rFonts w:asciiTheme="minorHAnsi" w:hAnsiTheme="minorHAnsi" w:cstheme="minorHAnsi"/>
          <w:color w:val="000000" w:themeColor="text1"/>
        </w:rPr>
        <w:t>export</w:t>
      </w:r>
      <w:r w:rsidRPr="00390B8E">
        <w:rPr>
          <w:rFonts w:asciiTheme="minorHAnsi" w:hAnsiTheme="minorHAnsi" w:cstheme="minorHAnsi"/>
          <w:color w:val="000000" w:themeColor="text1"/>
        </w:rPr>
        <w:t xml:space="preserve"> constraints are </w:t>
      </w:r>
      <w:r w:rsidR="004E4AF8" w:rsidRPr="00390B8E">
        <w:rPr>
          <w:rFonts w:asciiTheme="minorHAnsi" w:hAnsiTheme="minorHAnsi" w:cstheme="minorHAnsi"/>
          <w:color w:val="000000" w:themeColor="text1"/>
        </w:rPr>
        <w:t>a present</w:t>
      </w:r>
      <w:r w:rsidRPr="00390B8E">
        <w:rPr>
          <w:rFonts w:asciiTheme="minorHAnsi" w:hAnsiTheme="minorHAnsi" w:cstheme="minorHAnsi"/>
          <w:color w:val="000000" w:themeColor="text1"/>
        </w:rPr>
        <w:t xml:space="preserve"> issue, Jemena’s forecast expenditure needs </w:t>
      </w:r>
      <w:r w:rsidR="004E4AF8" w:rsidRPr="00390B8E">
        <w:rPr>
          <w:rFonts w:asciiTheme="minorHAnsi" w:hAnsiTheme="minorHAnsi" w:cstheme="minorHAnsi"/>
          <w:color w:val="000000" w:themeColor="text1"/>
        </w:rPr>
        <w:t>have been estimated with reference to less network data, and rely more heavily on assumptions</w:t>
      </w:r>
      <w:r w:rsidRPr="00390B8E">
        <w:rPr>
          <w:rFonts w:asciiTheme="minorHAnsi" w:hAnsiTheme="minorHAnsi" w:cstheme="minorHAnsi"/>
          <w:color w:val="000000" w:themeColor="text1"/>
        </w:rPr>
        <w:t xml:space="preserve">. In this context, it is worth considering that the forecast penetration for Jemena by the end of the period is close to the current penetration of </w:t>
      </w:r>
      <w:r w:rsidR="00B46557" w:rsidRPr="00390B8E">
        <w:rPr>
          <w:rFonts w:asciiTheme="minorHAnsi" w:hAnsiTheme="minorHAnsi" w:cstheme="minorHAnsi"/>
          <w:color w:val="000000" w:themeColor="text1"/>
        </w:rPr>
        <w:t>AusNet</w:t>
      </w:r>
      <w:r w:rsidRPr="00390B8E">
        <w:rPr>
          <w:rFonts w:asciiTheme="minorHAnsi" w:hAnsiTheme="minorHAnsi" w:cstheme="minorHAnsi"/>
          <w:color w:val="000000" w:themeColor="text1"/>
        </w:rPr>
        <w:t xml:space="preserve"> Services and Powercor, where issues have </w:t>
      </w:r>
      <w:r w:rsidR="004E4AF8" w:rsidRPr="00390B8E">
        <w:rPr>
          <w:rFonts w:asciiTheme="minorHAnsi" w:hAnsiTheme="minorHAnsi" w:cstheme="minorHAnsi"/>
          <w:color w:val="000000" w:themeColor="text1"/>
        </w:rPr>
        <w:t>until now</w:t>
      </w:r>
      <w:r w:rsidRPr="00390B8E">
        <w:rPr>
          <w:rFonts w:asciiTheme="minorHAnsi" w:hAnsiTheme="minorHAnsi" w:cstheme="minorHAnsi"/>
          <w:color w:val="000000" w:themeColor="text1"/>
        </w:rPr>
        <w:t xml:space="preserve"> been largely managed through manual </w:t>
      </w:r>
      <w:r w:rsidR="00E81835" w:rsidRPr="00390B8E">
        <w:rPr>
          <w:rFonts w:asciiTheme="minorHAnsi" w:hAnsiTheme="minorHAnsi" w:cstheme="minorHAnsi"/>
          <w:color w:val="000000" w:themeColor="text1"/>
        </w:rPr>
        <w:t>tap changes</w:t>
      </w:r>
      <w:r w:rsidR="004E4AF8" w:rsidRPr="00390B8E">
        <w:rPr>
          <w:rFonts w:asciiTheme="minorHAnsi" w:hAnsiTheme="minorHAnsi" w:cstheme="minorHAnsi"/>
          <w:color w:val="000000" w:themeColor="text1"/>
        </w:rPr>
        <w:t xml:space="preserve"> and other opex measures</w:t>
      </w:r>
      <w:r w:rsidRPr="00390B8E">
        <w:rPr>
          <w:rFonts w:asciiTheme="minorHAnsi" w:hAnsiTheme="minorHAnsi" w:cstheme="minorHAnsi"/>
          <w:color w:val="000000" w:themeColor="text1"/>
        </w:rPr>
        <w:t>.</w:t>
      </w:r>
    </w:p>
    <w:p w14:paraId="4C13EFB0" w14:textId="6841E899" w:rsidR="00D712EA" w:rsidRPr="00390B8E" w:rsidRDefault="00D712EA" w:rsidP="00D712EA">
      <w:pPr>
        <w:pStyle w:val="Heading2"/>
      </w:pPr>
      <w:bookmarkStart w:id="42" w:name="_Toc61341292"/>
      <w:r w:rsidRPr="00390B8E">
        <w:lastRenderedPageBreak/>
        <w:t>Value of DER</w:t>
      </w:r>
      <w:bookmarkEnd w:id="42"/>
      <w:r w:rsidRPr="00390B8E">
        <w:t xml:space="preserve"> </w:t>
      </w:r>
    </w:p>
    <w:p w14:paraId="33DF19BD" w14:textId="457F6AE4" w:rsidR="00D712EA" w:rsidRPr="00390B8E" w:rsidRDefault="00D712EA" w:rsidP="00D712EA">
      <w:pPr>
        <w:pStyle w:val="BodytextRPC"/>
        <w:rPr>
          <w:rFonts w:asciiTheme="minorHAnsi" w:hAnsiTheme="minorHAnsi" w:cstheme="minorHAnsi"/>
          <w:color w:val="000000" w:themeColor="text1"/>
        </w:rPr>
      </w:pPr>
      <w:r w:rsidRPr="00390B8E">
        <w:rPr>
          <w:rFonts w:asciiTheme="minorHAnsi" w:hAnsiTheme="minorHAnsi" w:cstheme="minorHAnsi"/>
          <w:color w:val="000000" w:themeColor="text1"/>
        </w:rPr>
        <w:t>The Value of DER study undertaken by the AER  addresses the concerns raised by the VCO and other stakeholders around the business case evaluation methodology employed by the distributors, including the assumption that the value of exported energy would remain unchanged over time, and</w:t>
      </w:r>
      <w:r w:rsidR="00C7587C" w:rsidRPr="00390B8E">
        <w:rPr>
          <w:rFonts w:asciiTheme="minorHAnsi" w:hAnsiTheme="minorHAnsi" w:cstheme="minorHAnsi"/>
          <w:color w:val="000000" w:themeColor="text1"/>
        </w:rPr>
        <w:t xml:space="preserve"> the benefits of pursuing</w:t>
      </w:r>
      <w:r w:rsidRPr="00390B8E">
        <w:rPr>
          <w:rFonts w:asciiTheme="minorHAnsi" w:hAnsiTheme="minorHAnsi" w:cstheme="minorHAnsi"/>
          <w:color w:val="000000" w:themeColor="text1"/>
        </w:rPr>
        <w:t xml:space="preserve"> a consistent approach between networks.</w:t>
      </w:r>
    </w:p>
    <w:p w14:paraId="10EB4998" w14:textId="77777777" w:rsidR="00D712EA" w:rsidRPr="00390B8E" w:rsidRDefault="00D712EA" w:rsidP="00D712EA">
      <w:pPr>
        <w:pStyle w:val="BodytextRPC"/>
        <w:rPr>
          <w:rFonts w:asciiTheme="minorHAnsi" w:hAnsiTheme="minorHAnsi" w:cstheme="minorHAnsi"/>
          <w:color w:val="000000" w:themeColor="text1"/>
        </w:rPr>
      </w:pPr>
      <w:r w:rsidRPr="00390B8E">
        <w:rPr>
          <w:rFonts w:asciiTheme="minorHAnsi" w:hAnsiTheme="minorHAnsi" w:cstheme="minorHAnsi"/>
          <w:color w:val="000000" w:themeColor="text1"/>
        </w:rPr>
        <w:t>We would like to make the following points about relevant considerations in adopting or applying these recommendations:</w:t>
      </w:r>
    </w:p>
    <w:p w14:paraId="484989E4" w14:textId="5B8761FF" w:rsidR="00C7587C" w:rsidRPr="00390B8E" w:rsidRDefault="00C7587C" w:rsidP="00D712EA">
      <w:pPr>
        <w:pStyle w:val="BodytextRPC"/>
        <w:numPr>
          <w:ilvl w:val="0"/>
          <w:numId w:val="19"/>
        </w:numPr>
        <w:rPr>
          <w:rFonts w:asciiTheme="minorHAnsi" w:hAnsiTheme="minorHAnsi" w:cstheme="minorHAnsi"/>
          <w:color w:val="000000" w:themeColor="text1"/>
        </w:rPr>
      </w:pPr>
      <w:r w:rsidRPr="00390B8E">
        <w:rPr>
          <w:rFonts w:asciiTheme="minorHAnsi" w:hAnsiTheme="minorHAnsi" w:cstheme="minorHAnsi"/>
          <w:color w:val="000000" w:themeColor="text1"/>
        </w:rPr>
        <w:t>Many submissions to the Value of DER study</w:t>
      </w:r>
      <w:r w:rsidR="00D712EA" w:rsidRPr="00390B8E">
        <w:rPr>
          <w:rFonts w:asciiTheme="minorHAnsi" w:hAnsiTheme="minorHAnsi" w:cstheme="minorHAnsi"/>
          <w:color w:val="000000" w:themeColor="text1"/>
        </w:rPr>
        <w:t xml:space="preserve"> </w:t>
      </w:r>
      <w:r w:rsidRPr="00390B8E">
        <w:rPr>
          <w:rFonts w:asciiTheme="minorHAnsi" w:hAnsiTheme="minorHAnsi" w:cstheme="minorHAnsi"/>
          <w:color w:val="000000" w:themeColor="text1"/>
        </w:rPr>
        <w:t xml:space="preserve">argued </w:t>
      </w:r>
      <w:r w:rsidR="00D712EA" w:rsidRPr="00390B8E">
        <w:rPr>
          <w:rFonts w:asciiTheme="minorHAnsi" w:hAnsiTheme="minorHAnsi" w:cstheme="minorHAnsi"/>
          <w:color w:val="000000" w:themeColor="text1"/>
        </w:rPr>
        <w:t xml:space="preserve">that there </w:t>
      </w:r>
      <w:r w:rsidRPr="00390B8E">
        <w:rPr>
          <w:rFonts w:asciiTheme="minorHAnsi" w:hAnsiTheme="minorHAnsi" w:cstheme="minorHAnsi"/>
          <w:color w:val="000000" w:themeColor="text1"/>
        </w:rPr>
        <w:t xml:space="preserve">were differences in the value of enabling kW of PV to be installed by consumers on the distribution network, rather than having equivalent kW installed in large generators. No difference was recognised by the Value of DER study. </w:t>
      </w:r>
    </w:p>
    <w:p w14:paraId="29817851" w14:textId="12921B4E" w:rsidR="00C7587C" w:rsidRPr="00390B8E" w:rsidRDefault="00C7587C" w:rsidP="00C7587C">
      <w:pPr>
        <w:pStyle w:val="BodytextRPC"/>
        <w:ind w:left="1086"/>
        <w:rPr>
          <w:rFonts w:asciiTheme="minorHAnsi" w:hAnsiTheme="minorHAnsi" w:cstheme="minorHAnsi"/>
          <w:color w:val="000000" w:themeColor="text1"/>
        </w:rPr>
      </w:pPr>
      <w:r w:rsidRPr="00390B8E">
        <w:rPr>
          <w:rFonts w:asciiTheme="minorHAnsi" w:hAnsiTheme="minorHAnsi" w:cstheme="minorHAnsi"/>
          <w:color w:val="000000" w:themeColor="text1"/>
        </w:rPr>
        <w:t xml:space="preserve">Equity between early and late adopters is one </w:t>
      </w:r>
      <w:r w:rsidR="001B4ED7" w:rsidRPr="00390B8E">
        <w:rPr>
          <w:rFonts w:asciiTheme="minorHAnsi" w:hAnsiTheme="minorHAnsi" w:cstheme="minorHAnsi"/>
          <w:color w:val="000000" w:themeColor="text1"/>
        </w:rPr>
        <w:t>reason stakeholders see value in allowing consumers to access PV.</w:t>
      </w:r>
    </w:p>
    <w:p w14:paraId="6291CECC" w14:textId="7D38569F" w:rsidR="00C7587C" w:rsidRPr="00390B8E" w:rsidRDefault="001B4ED7" w:rsidP="00C7587C">
      <w:pPr>
        <w:pStyle w:val="BodytextRPC"/>
        <w:ind w:left="1086"/>
        <w:rPr>
          <w:rFonts w:asciiTheme="minorHAnsi" w:hAnsiTheme="minorHAnsi" w:cstheme="minorHAnsi"/>
          <w:color w:val="000000" w:themeColor="text1"/>
        </w:rPr>
      </w:pPr>
      <w:r w:rsidRPr="00390B8E">
        <w:rPr>
          <w:rFonts w:asciiTheme="minorHAnsi" w:hAnsiTheme="minorHAnsi" w:cstheme="minorHAnsi"/>
          <w:color w:val="000000" w:themeColor="text1"/>
        </w:rPr>
        <w:t xml:space="preserve">The value of providing access to install </w:t>
      </w:r>
      <w:r w:rsidR="00E81835" w:rsidRPr="00390B8E">
        <w:rPr>
          <w:rFonts w:asciiTheme="minorHAnsi" w:hAnsiTheme="minorHAnsi" w:cstheme="minorHAnsi"/>
          <w:color w:val="000000" w:themeColor="text1"/>
        </w:rPr>
        <w:t xml:space="preserve">and connect </w:t>
      </w:r>
      <w:r w:rsidRPr="00390B8E">
        <w:rPr>
          <w:rFonts w:asciiTheme="minorHAnsi" w:hAnsiTheme="minorHAnsi" w:cstheme="minorHAnsi"/>
          <w:color w:val="000000" w:themeColor="text1"/>
        </w:rPr>
        <w:t>PV</w:t>
      </w:r>
      <w:r w:rsidR="00C7587C" w:rsidRPr="00390B8E">
        <w:rPr>
          <w:rFonts w:asciiTheme="minorHAnsi" w:hAnsiTheme="minorHAnsi" w:cstheme="minorHAnsi"/>
          <w:color w:val="000000" w:themeColor="text1"/>
        </w:rPr>
        <w:t xml:space="preserve"> </w:t>
      </w:r>
      <w:r w:rsidR="00E81835" w:rsidRPr="00390B8E">
        <w:rPr>
          <w:rFonts w:asciiTheme="minorHAnsi" w:hAnsiTheme="minorHAnsi" w:cstheme="minorHAnsi"/>
          <w:color w:val="000000" w:themeColor="text1"/>
        </w:rPr>
        <w:t>provides different values to customers than</w:t>
      </w:r>
      <w:r w:rsidR="00C7587C" w:rsidRPr="00390B8E">
        <w:rPr>
          <w:rFonts w:asciiTheme="minorHAnsi" w:hAnsiTheme="minorHAnsi" w:cstheme="minorHAnsi"/>
          <w:color w:val="000000" w:themeColor="text1"/>
        </w:rPr>
        <w:t xml:space="preserve"> alleviating export constraints</w:t>
      </w:r>
      <w:r w:rsidRPr="00390B8E">
        <w:rPr>
          <w:rFonts w:asciiTheme="minorHAnsi" w:hAnsiTheme="minorHAnsi" w:cstheme="minorHAnsi"/>
          <w:color w:val="000000" w:themeColor="text1"/>
        </w:rPr>
        <w:t xml:space="preserve"> during periods of excess generation.</w:t>
      </w:r>
    </w:p>
    <w:p w14:paraId="6538660D" w14:textId="77777777" w:rsidR="004C0537" w:rsidRPr="00390B8E" w:rsidRDefault="00D712EA" w:rsidP="00D712EA">
      <w:pPr>
        <w:pStyle w:val="BodytextRPC"/>
        <w:numPr>
          <w:ilvl w:val="0"/>
          <w:numId w:val="19"/>
        </w:numPr>
        <w:rPr>
          <w:rFonts w:asciiTheme="minorHAnsi" w:hAnsiTheme="minorHAnsi" w:cstheme="minorHAnsi"/>
          <w:color w:val="000000" w:themeColor="text1"/>
        </w:rPr>
      </w:pPr>
      <w:r w:rsidRPr="00390B8E">
        <w:rPr>
          <w:rFonts w:asciiTheme="minorHAnsi" w:hAnsiTheme="minorHAnsi" w:cstheme="minorHAnsi"/>
          <w:color w:val="000000" w:themeColor="text1"/>
        </w:rPr>
        <w:t xml:space="preserve">The </w:t>
      </w:r>
      <w:r w:rsidR="001B4ED7" w:rsidRPr="00390B8E">
        <w:rPr>
          <w:rFonts w:asciiTheme="minorHAnsi" w:hAnsiTheme="minorHAnsi" w:cstheme="minorHAnsi"/>
          <w:color w:val="000000" w:themeColor="text1"/>
        </w:rPr>
        <w:t>study</w:t>
      </w:r>
      <w:r w:rsidRPr="00390B8E">
        <w:rPr>
          <w:rFonts w:asciiTheme="minorHAnsi" w:hAnsiTheme="minorHAnsi" w:cstheme="minorHAnsi"/>
          <w:color w:val="000000" w:themeColor="text1"/>
        </w:rPr>
        <w:t xml:space="preserve"> does not include a recognition of the carbon cost alleviated, although it accommodates the possibility for this to be considered in line with state government policy. </w:t>
      </w:r>
    </w:p>
    <w:p w14:paraId="6C457E6D" w14:textId="7964A024" w:rsidR="00D712EA" w:rsidRPr="00390B8E" w:rsidRDefault="00D712EA" w:rsidP="004C0537">
      <w:pPr>
        <w:pStyle w:val="BodytextRPC"/>
        <w:ind w:left="1086"/>
        <w:rPr>
          <w:rFonts w:asciiTheme="minorHAnsi" w:hAnsiTheme="minorHAnsi" w:cstheme="minorHAnsi"/>
          <w:color w:val="000000" w:themeColor="text1"/>
        </w:rPr>
      </w:pPr>
      <w:r w:rsidRPr="00390B8E">
        <w:rPr>
          <w:rFonts w:asciiTheme="minorHAnsi" w:hAnsiTheme="minorHAnsi" w:cstheme="minorHAnsi"/>
          <w:color w:val="000000" w:themeColor="text1"/>
        </w:rPr>
        <w:t xml:space="preserve">We support </w:t>
      </w:r>
      <w:r w:rsidR="004C0537" w:rsidRPr="00390B8E">
        <w:rPr>
          <w:rFonts w:asciiTheme="minorHAnsi" w:hAnsiTheme="minorHAnsi" w:cstheme="minorHAnsi"/>
          <w:color w:val="000000" w:themeColor="text1"/>
        </w:rPr>
        <w:t>the</w:t>
      </w:r>
      <w:r w:rsidRPr="00390B8E">
        <w:rPr>
          <w:rFonts w:asciiTheme="minorHAnsi" w:hAnsiTheme="minorHAnsi" w:cstheme="minorHAnsi"/>
          <w:color w:val="000000" w:themeColor="text1"/>
        </w:rPr>
        <w:t xml:space="preserve"> inclusion</w:t>
      </w:r>
      <w:r w:rsidR="004C0537" w:rsidRPr="00390B8E">
        <w:rPr>
          <w:rFonts w:asciiTheme="minorHAnsi" w:hAnsiTheme="minorHAnsi" w:cstheme="minorHAnsi"/>
          <w:color w:val="000000" w:themeColor="text1"/>
        </w:rPr>
        <w:t xml:space="preserve"> of the cost of carbon</w:t>
      </w:r>
      <w:r w:rsidRPr="00390B8E">
        <w:rPr>
          <w:rFonts w:asciiTheme="minorHAnsi" w:hAnsiTheme="minorHAnsi" w:cstheme="minorHAnsi"/>
          <w:color w:val="000000" w:themeColor="text1"/>
        </w:rPr>
        <w:t xml:space="preserve">, in line with </w:t>
      </w:r>
      <w:proofErr w:type="gramStart"/>
      <w:r w:rsidRPr="00390B8E">
        <w:rPr>
          <w:rFonts w:asciiTheme="minorHAnsi" w:hAnsiTheme="minorHAnsi" w:cstheme="minorHAnsi"/>
          <w:color w:val="000000" w:themeColor="text1"/>
        </w:rPr>
        <w:t>strongly-demonstrated</w:t>
      </w:r>
      <w:proofErr w:type="gramEnd"/>
      <w:r w:rsidRPr="00390B8E">
        <w:rPr>
          <w:rFonts w:asciiTheme="minorHAnsi" w:hAnsiTheme="minorHAnsi" w:cstheme="minorHAnsi"/>
          <w:color w:val="000000" w:themeColor="text1"/>
        </w:rPr>
        <w:t xml:space="preserve"> customer preference for </w:t>
      </w:r>
      <w:r w:rsidR="00CB07A1" w:rsidRPr="00390B8E">
        <w:rPr>
          <w:rFonts w:asciiTheme="minorHAnsi" w:hAnsiTheme="minorHAnsi" w:cstheme="minorHAnsi"/>
          <w:color w:val="000000" w:themeColor="text1"/>
        </w:rPr>
        <w:t xml:space="preserve">transition to a </w:t>
      </w:r>
      <w:r w:rsidRPr="00390B8E">
        <w:rPr>
          <w:rFonts w:asciiTheme="minorHAnsi" w:hAnsiTheme="minorHAnsi" w:cstheme="minorHAnsi"/>
          <w:color w:val="000000" w:themeColor="text1"/>
        </w:rPr>
        <w:t xml:space="preserve">low-carbon network. </w:t>
      </w:r>
    </w:p>
    <w:p w14:paraId="5A43AD69" w14:textId="20F68FCD" w:rsidR="001B4ED7" w:rsidRPr="00390B8E" w:rsidRDefault="001B4ED7" w:rsidP="001B4ED7">
      <w:pPr>
        <w:pStyle w:val="Heading2"/>
      </w:pPr>
      <w:bookmarkStart w:id="43" w:name="_Toc61341293"/>
      <w:r w:rsidRPr="00390B8E">
        <w:t>Consistent DER integration</w:t>
      </w:r>
      <w:r w:rsidR="004E4AF8" w:rsidRPr="00390B8E">
        <w:t xml:space="preserve"> planning</w:t>
      </w:r>
      <w:bookmarkEnd w:id="43"/>
    </w:p>
    <w:p w14:paraId="7598453A" w14:textId="24607BFE" w:rsidR="00F033E3" w:rsidRPr="00390B8E" w:rsidRDefault="001B4ED7" w:rsidP="00206F0A">
      <w:pPr>
        <w:pStyle w:val="BodytextRPC"/>
        <w:rPr>
          <w:rFonts w:asciiTheme="minorHAnsi" w:hAnsiTheme="minorHAnsi" w:cstheme="minorHAnsi"/>
          <w:color w:val="000000" w:themeColor="text1"/>
        </w:rPr>
      </w:pPr>
      <w:r w:rsidRPr="00390B8E">
        <w:rPr>
          <w:rFonts w:asciiTheme="minorHAnsi" w:hAnsiTheme="minorHAnsi" w:cstheme="minorHAnsi"/>
          <w:color w:val="000000" w:themeColor="text1"/>
        </w:rPr>
        <w:t xml:space="preserve">The Value of DER study is an important contribution to a framework that will maintain consistency between Victorian networks as they undergo transition (with respect to </w:t>
      </w:r>
      <w:r w:rsidR="00762648" w:rsidRPr="00390B8E">
        <w:rPr>
          <w:rFonts w:asciiTheme="minorHAnsi" w:hAnsiTheme="minorHAnsi" w:cstheme="minorHAnsi"/>
          <w:color w:val="000000" w:themeColor="text1"/>
        </w:rPr>
        <w:t xml:space="preserve">the </w:t>
      </w:r>
      <w:r w:rsidRPr="00390B8E">
        <w:rPr>
          <w:rFonts w:asciiTheme="minorHAnsi" w:hAnsiTheme="minorHAnsi" w:cstheme="minorHAnsi"/>
          <w:color w:val="000000" w:themeColor="text1"/>
        </w:rPr>
        <w:t>constraints of existing infrastructure)</w:t>
      </w:r>
      <w:r w:rsidR="00CB07A1" w:rsidRPr="00390B8E">
        <w:rPr>
          <w:rFonts w:asciiTheme="minorHAnsi" w:hAnsiTheme="minorHAnsi" w:cstheme="minorHAnsi"/>
          <w:color w:val="000000" w:themeColor="text1"/>
        </w:rPr>
        <w:t>.</w:t>
      </w:r>
      <w:r w:rsidRPr="00390B8E">
        <w:rPr>
          <w:rFonts w:asciiTheme="minorHAnsi" w:hAnsiTheme="minorHAnsi" w:cstheme="minorHAnsi"/>
          <w:color w:val="000000" w:themeColor="text1"/>
        </w:rPr>
        <w:t xml:space="preserve"> </w:t>
      </w:r>
    </w:p>
    <w:p w14:paraId="37CFF808" w14:textId="32C05FD2" w:rsidR="00F033E3" w:rsidRPr="00390B8E" w:rsidRDefault="00762648" w:rsidP="00206F0A">
      <w:pPr>
        <w:pStyle w:val="BodytextRPC"/>
        <w:rPr>
          <w:rFonts w:asciiTheme="minorHAnsi" w:hAnsiTheme="minorHAnsi" w:cstheme="minorHAnsi"/>
          <w:color w:val="000000" w:themeColor="text1"/>
        </w:rPr>
      </w:pPr>
      <w:r w:rsidRPr="00390B8E">
        <w:rPr>
          <w:rFonts w:asciiTheme="minorHAnsi" w:hAnsiTheme="minorHAnsi" w:cstheme="minorHAnsi"/>
          <w:color w:val="000000" w:themeColor="text1"/>
        </w:rPr>
        <w:t xml:space="preserve">There are other aspects of the DER implementation planning </w:t>
      </w:r>
      <w:r w:rsidR="00F033E3" w:rsidRPr="00390B8E">
        <w:rPr>
          <w:rFonts w:asciiTheme="minorHAnsi" w:hAnsiTheme="minorHAnsi" w:cstheme="minorHAnsi"/>
          <w:color w:val="000000" w:themeColor="text1"/>
        </w:rPr>
        <w:t xml:space="preserve">where aiming for a consistent approach will deliver best value for consumers, and enable consistent customer interaction with DER across the state. </w:t>
      </w:r>
    </w:p>
    <w:p w14:paraId="0B0DCA26" w14:textId="2F852B61" w:rsidR="00F033E3" w:rsidRPr="00390B8E" w:rsidRDefault="00F033E3" w:rsidP="00206F0A">
      <w:pPr>
        <w:pStyle w:val="BodytextRPC"/>
        <w:rPr>
          <w:rFonts w:asciiTheme="minorHAnsi" w:hAnsiTheme="minorHAnsi" w:cstheme="minorHAnsi"/>
          <w:color w:val="000000" w:themeColor="text1"/>
        </w:rPr>
      </w:pPr>
      <w:r w:rsidRPr="00390B8E">
        <w:rPr>
          <w:rFonts w:asciiTheme="minorHAnsi" w:hAnsiTheme="minorHAnsi" w:cstheme="minorHAnsi"/>
          <w:color w:val="000000" w:themeColor="text1"/>
        </w:rPr>
        <w:t xml:space="preserve">Important examples </w:t>
      </w:r>
      <w:proofErr w:type="gramStart"/>
      <w:r w:rsidRPr="00390B8E">
        <w:rPr>
          <w:rFonts w:asciiTheme="minorHAnsi" w:hAnsiTheme="minorHAnsi" w:cstheme="minorHAnsi"/>
          <w:color w:val="000000" w:themeColor="text1"/>
        </w:rPr>
        <w:t>are:</w:t>
      </w:r>
      <w:proofErr w:type="gramEnd"/>
      <w:r w:rsidRPr="00390B8E">
        <w:rPr>
          <w:rFonts w:asciiTheme="minorHAnsi" w:hAnsiTheme="minorHAnsi" w:cstheme="minorHAnsi"/>
          <w:color w:val="000000" w:themeColor="text1"/>
        </w:rPr>
        <w:t xml:space="preserve"> proposed technology pathways in response to particular constraint contexts, deployment policies for dynamic operating envelopes, agreed constraint levels </w:t>
      </w:r>
      <w:r w:rsidR="00E81835" w:rsidRPr="00390B8E">
        <w:rPr>
          <w:rFonts w:asciiTheme="minorHAnsi" w:hAnsiTheme="minorHAnsi" w:cstheme="minorHAnsi"/>
          <w:color w:val="000000" w:themeColor="text1"/>
        </w:rPr>
        <w:t xml:space="preserve">(relevant to the network context) </w:t>
      </w:r>
      <w:r w:rsidRPr="00390B8E">
        <w:rPr>
          <w:rFonts w:asciiTheme="minorHAnsi" w:hAnsiTheme="minorHAnsi" w:cstheme="minorHAnsi"/>
          <w:color w:val="000000" w:themeColor="text1"/>
        </w:rPr>
        <w:t>to trigger remediation, etc.</w:t>
      </w:r>
    </w:p>
    <w:p w14:paraId="7EF453F4" w14:textId="080D8A6A" w:rsidR="00F033E3" w:rsidRPr="00390B8E" w:rsidRDefault="00F033E3" w:rsidP="00206F0A">
      <w:pPr>
        <w:pStyle w:val="BodytextRPC"/>
        <w:rPr>
          <w:rFonts w:asciiTheme="minorHAnsi" w:hAnsiTheme="minorHAnsi" w:cstheme="minorHAnsi"/>
          <w:color w:val="000000" w:themeColor="text1"/>
        </w:rPr>
      </w:pPr>
      <w:r w:rsidRPr="00390B8E">
        <w:rPr>
          <w:rFonts w:asciiTheme="minorHAnsi" w:hAnsiTheme="minorHAnsi" w:cstheme="minorHAnsi"/>
          <w:color w:val="000000" w:themeColor="text1"/>
        </w:rPr>
        <w:lastRenderedPageBreak/>
        <w:t xml:space="preserve">An exploration of the networks’ planning policies for these aspects would allow a </w:t>
      </w:r>
      <w:r w:rsidR="00300981" w:rsidRPr="00390B8E">
        <w:rPr>
          <w:rFonts w:asciiTheme="minorHAnsi" w:hAnsiTheme="minorHAnsi" w:cstheme="minorHAnsi"/>
          <w:color w:val="000000" w:themeColor="text1"/>
        </w:rPr>
        <w:t xml:space="preserve">closer understanding of a proportional investment proposal for DER integration that is appropriate to a distributors’ current situation. </w:t>
      </w:r>
    </w:p>
    <w:p w14:paraId="0A83C8C5" w14:textId="450CC3B6" w:rsidR="004E4AF8" w:rsidRPr="00390B8E" w:rsidRDefault="004E4AF8" w:rsidP="00206F0A">
      <w:pPr>
        <w:pStyle w:val="BodytextRPC"/>
        <w:rPr>
          <w:rFonts w:asciiTheme="minorHAnsi" w:hAnsiTheme="minorHAnsi" w:cstheme="minorHAnsi"/>
          <w:color w:val="000000" w:themeColor="text1"/>
        </w:rPr>
      </w:pPr>
      <w:r w:rsidRPr="00390B8E">
        <w:rPr>
          <w:rFonts w:asciiTheme="minorHAnsi" w:hAnsiTheme="minorHAnsi" w:cstheme="minorHAnsi"/>
          <w:color w:val="000000" w:themeColor="text1"/>
        </w:rPr>
        <w:t xml:space="preserve">Some decisions will also have implications for DER-customer interactions and decision-making. For example, consultation with </w:t>
      </w:r>
      <w:r w:rsidR="00B46557" w:rsidRPr="00390B8E">
        <w:rPr>
          <w:rFonts w:asciiTheme="minorHAnsi" w:hAnsiTheme="minorHAnsi" w:cstheme="minorHAnsi"/>
          <w:color w:val="000000" w:themeColor="text1"/>
        </w:rPr>
        <w:t>AusNet</w:t>
      </w:r>
      <w:r w:rsidRPr="00390B8E">
        <w:rPr>
          <w:rFonts w:asciiTheme="minorHAnsi" w:hAnsiTheme="minorHAnsi" w:cstheme="minorHAnsi"/>
          <w:color w:val="000000" w:themeColor="text1"/>
        </w:rPr>
        <w:t xml:space="preserve"> Services and the CPPALUE networks early in 2020 suggested that at </w:t>
      </w:r>
      <w:r w:rsidR="001E5624" w:rsidRPr="00390B8E">
        <w:rPr>
          <w:rFonts w:asciiTheme="minorHAnsi" w:hAnsiTheme="minorHAnsi" w:cstheme="minorHAnsi"/>
          <w:color w:val="000000" w:themeColor="text1"/>
        </w:rPr>
        <w:t>that</w:t>
      </w:r>
      <w:r w:rsidRPr="00390B8E">
        <w:rPr>
          <w:rFonts w:asciiTheme="minorHAnsi" w:hAnsiTheme="minorHAnsi" w:cstheme="minorHAnsi"/>
          <w:color w:val="000000" w:themeColor="text1"/>
        </w:rPr>
        <w:t xml:space="preserve"> time they had different strategies for deploying dynamic constraints. This may have implications for </w:t>
      </w:r>
      <w:r w:rsidR="00CB07A1" w:rsidRPr="00390B8E">
        <w:rPr>
          <w:rFonts w:asciiTheme="minorHAnsi" w:hAnsiTheme="minorHAnsi" w:cstheme="minorHAnsi"/>
          <w:color w:val="000000" w:themeColor="text1"/>
        </w:rPr>
        <w:t xml:space="preserve">customers as to </w:t>
      </w:r>
      <w:r w:rsidRPr="00390B8E">
        <w:rPr>
          <w:rFonts w:asciiTheme="minorHAnsi" w:hAnsiTheme="minorHAnsi" w:cstheme="minorHAnsi"/>
          <w:color w:val="000000" w:themeColor="text1"/>
        </w:rPr>
        <w:t>the appropriate response – increasing or decreasing loads - when there is a local voltage constraint active.</w:t>
      </w:r>
    </w:p>
    <w:p w14:paraId="65599E86" w14:textId="5E795817" w:rsidR="004E4AF8" w:rsidRPr="00390B8E" w:rsidRDefault="00F033E3" w:rsidP="00206F0A">
      <w:pPr>
        <w:pStyle w:val="BodytextRPC"/>
        <w:rPr>
          <w:rFonts w:asciiTheme="minorHAnsi" w:hAnsiTheme="minorHAnsi" w:cstheme="minorHAnsi"/>
          <w:color w:val="000000" w:themeColor="text1"/>
        </w:rPr>
      </w:pPr>
      <w:r w:rsidRPr="00390B8E">
        <w:rPr>
          <w:rFonts w:asciiTheme="minorHAnsi" w:hAnsiTheme="minorHAnsi" w:cstheme="minorHAnsi"/>
          <w:color w:val="000000" w:themeColor="text1"/>
        </w:rPr>
        <w:t>This year’s determination introduced this new class of expenditure to the Victorian process. It is a</w:t>
      </w:r>
      <w:r w:rsidR="004E4AF8" w:rsidRPr="00390B8E">
        <w:rPr>
          <w:rFonts w:asciiTheme="minorHAnsi" w:hAnsiTheme="minorHAnsi" w:cstheme="minorHAnsi"/>
          <w:color w:val="000000" w:themeColor="text1"/>
        </w:rPr>
        <w:t xml:space="preserve"> </w:t>
      </w:r>
      <w:r w:rsidR="004D361C" w:rsidRPr="00390B8E">
        <w:rPr>
          <w:rFonts w:asciiTheme="minorHAnsi" w:hAnsiTheme="minorHAnsi" w:cstheme="minorHAnsi"/>
          <w:color w:val="000000" w:themeColor="text1"/>
        </w:rPr>
        <w:t>useful</w:t>
      </w:r>
      <w:r w:rsidR="004E4AF8" w:rsidRPr="00390B8E">
        <w:rPr>
          <w:rFonts w:asciiTheme="minorHAnsi" w:hAnsiTheme="minorHAnsi" w:cstheme="minorHAnsi"/>
          <w:color w:val="000000" w:themeColor="text1"/>
        </w:rPr>
        <w:t xml:space="preserve"> </w:t>
      </w:r>
      <w:r w:rsidRPr="00390B8E">
        <w:rPr>
          <w:rFonts w:asciiTheme="minorHAnsi" w:hAnsiTheme="minorHAnsi" w:cstheme="minorHAnsi"/>
          <w:color w:val="000000" w:themeColor="text1"/>
        </w:rPr>
        <w:t xml:space="preserve">opportunity </w:t>
      </w:r>
      <w:r w:rsidR="004E4AF8" w:rsidRPr="00390B8E">
        <w:rPr>
          <w:rFonts w:asciiTheme="minorHAnsi" w:hAnsiTheme="minorHAnsi" w:cstheme="minorHAnsi"/>
          <w:color w:val="000000" w:themeColor="text1"/>
        </w:rPr>
        <w:t>to compare the</w:t>
      </w:r>
      <w:r w:rsidR="000E0962" w:rsidRPr="00390B8E">
        <w:rPr>
          <w:rFonts w:asciiTheme="minorHAnsi" w:hAnsiTheme="minorHAnsi" w:cstheme="minorHAnsi"/>
          <w:color w:val="000000" w:themeColor="text1"/>
        </w:rPr>
        <w:t xml:space="preserve"> detail of this</w:t>
      </w:r>
      <w:r w:rsidRPr="00390B8E">
        <w:rPr>
          <w:rFonts w:asciiTheme="minorHAnsi" w:hAnsiTheme="minorHAnsi" w:cstheme="minorHAnsi"/>
          <w:color w:val="000000" w:themeColor="text1"/>
        </w:rPr>
        <w:t xml:space="preserve"> planning between the networks.</w:t>
      </w:r>
      <w:r w:rsidR="004E4AF8" w:rsidRPr="00390B8E">
        <w:rPr>
          <w:rFonts w:asciiTheme="minorHAnsi" w:hAnsiTheme="minorHAnsi" w:cstheme="minorHAnsi"/>
          <w:color w:val="000000" w:themeColor="text1"/>
        </w:rPr>
        <w:t xml:space="preserve"> </w:t>
      </w:r>
    </w:p>
    <w:p w14:paraId="348323FC" w14:textId="25052788" w:rsidR="00C7587C" w:rsidRPr="00390B8E" w:rsidRDefault="00B41CE7" w:rsidP="00C7587C">
      <w:pPr>
        <w:pStyle w:val="Heading2"/>
      </w:pPr>
      <w:bookmarkStart w:id="44" w:name="_Toc61341294"/>
      <w:r w:rsidRPr="00390B8E">
        <w:t xml:space="preserve">Upgrades should be </w:t>
      </w:r>
      <w:r w:rsidR="004E4AF8" w:rsidRPr="00390B8E">
        <w:t xml:space="preserve">implemented within a </w:t>
      </w:r>
      <w:r w:rsidR="00C619B3" w:rsidRPr="00390B8E">
        <w:t>comprehensive</w:t>
      </w:r>
      <w:r w:rsidR="00F37A55" w:rsidRPr="00390B8E">
        <w:t xml:space="preserve"> plan for a future network</w:t>
      </w:r>
      <w:bookmarkEnd w:id="44"/>
    </w:p>
    <w:p w14:paraId="6DD60EE9" w14:textId="285A8D39" w:rsidR="00B41CE7" w:rsidRPr="00390B8E" w:rsidRDefault="007D3F83" w:rsidP="00B41CE7">
      <w:pPr>
        <w:pStyle w:val="BodytextRPC"/>
        <w:rPr>
          <w:color w:val="000000" w:themeColor="text1"/>
        </w:rPr>
      </w:pPr>
      <w:r w:rsidRPr="00390B8E">
        <w:rPr>
          <w:color w:val="000000" w:themeColor="text1"/>
        </w:rPr>
        <w:t>Consumer advocates</w:t>
      </w:r>
      <w:r w:rsidR="00506A9D" w:rsidRPr="00390B8E">
        <w:rPr>
          <w:color w:val="000000" w:themeColor="text1"/>
        </w:rPr>
        <w:t xml:space="preserve"> would like to see more evidence that DER a</w:t>
      </w:r>
      <w:r w:rsidR="00F37A55" w:rsidRPr="00390B8E">
        <w:rPr>
          <w:color w:val="000000" w:themeColor="text1"/>
        </w:rPr>
        <w:t xml:space="preserve">ugmentation proposals </w:t>
      </w:r>
      <w:r w:rsidR="00506A9D" w:rsidRPr="00390B8E">
        <w:rPr>
          <w:color w:val="000000" w:themeColor="text1"/>
        </w:rPr>
        <w:t>are implement</w:t>
      </w:r>
      <w:r w:rsidR="00074C59" w:rsidRPr="00390B8E">
        <w:rPr>
          <w:color w:val="000000" w:themeColor="text1"/>
        </w:rPr>
        <w:t>ed</w:t>
      </w:r>
      <w:r w:rsidR="00F37A55" w:rsidRPr="00390B8E">
        <w:rPr>
          <w:color w:val="000000" w:themeColor="text1"/>
        </w:rPr>
        <w:t xml:space="preserve"> within the context of a </w:t>
      </w:r>
      <w:r w:rsidR="009400BF" w:rsidRPr="00390B8E">
        <w:rPr>
          <w:color w:val="000000" w:themeColor="text1"/>
        </w:rPr>
        <w:t>comprehensive</w:t>
      </w:r>
      <w:r w:rsidR="00F37A55" w:rsidRPr="00390B8E">
        <w:rPr>
          <w:color w:val="000000" w:themeColor="text1"/>
        </w:rPr>
        <w:t xml:space="preserve"> plan for a future network</w:t>
      </w:r>
      <w:r w:rsidR="009400BF" w:rsidRPr="00390B8E">
        <w:rPr>
          <w:color w:val="000000" w:themeColor="text1"/>
        </w:rPr>
        <w:t xml:space="preserve">, </w:t>
      </w:r>
      <w:r w:rsidR="00506A9D" w:rsidRPr="00390B8E">
        <w:rPr>
          <w:color w:val="000000" w:themeColor="text1"/>
        </w:rPr>
        <w:t>so that we can be confident that that its benefits have been properly valued</w:t>
      </w:r>
      <w:r w:rsidR="009400BF" w:rsidRPr="00390B8E">
        <w:rPr>
          <w:color w:val="000000" w:themeColor="text1"/>
        </w:rPr>
        <w:t xml:space="preserve">, and </w:t>
      </w:r>
      <w:r w:rsidR="00506A9D" w:rsidRPr="00390B8E">
        <w:rPr>
          <w:color w:val="000000" w:themeColor="text1"/>
        </w:rPr>
        <w:t>that the network is developed without</w:t>
      </w:r>
      <w:r w:rsidR="009400BF" w:rsidRPr="00390B8E">
        <w:rPr>
          <w:color w:val="000000" w:themeColor="text1"/>
        </w:rPr>
        <w:t xml:space="preserve"> redundancies.</w:t>
      </w:r>
    </w:p>
    <w:p w14:paraId="56E254C5" w14:textId="3528333D" w:rsidR="00F37A55" w:rsidRPr="00390B8E" w:rsidRDefault="00506A9D" w:rsidP="00B41CE7">
      <w:pPr>
        <w:pStyle w:val="BodytextRPC"/>
        <w:rPr>
          <w:color w:val="000000" w:themeColor="text1"/>
        </w:rPr>
      </w:pPr>
      <w:r w:rsidRPr="00390B8E">
        <w:rPr>
          <w:color w:val="000000" w:themeColor="text1"/>
        </w:rPr>
        <w:t>We are concerned that a</w:t>
      </w:r>
      <w:r w:rsidR="007A3C86" w:rsidRPr="00390B8E">
        <w:rPr>
          <w:color w:val="000000" w:themeColor="text1"/>
        </w:rPr>
        <w:t>ugmentation t</w:t>
      </w:r>
      <w:r w:rsidR="008E7085" w:rsidRPr="00390B8E">
        <w:rPr>
          <w:color w:val="000000" w:themeColor="text1"/>
        </w:rPr>
        <w:t>o accommodate a</w:t>
      </w:r>
      <w:r w:rsidRPr="00390B8E">
        <w:rPr>
          <w:color w:val="000000" w:themeColor="text1"/>
        </w:rPr>
        <w:t xml:space="preserve">n expanded </w:t>
      </w:r>
      <w:r w:rsidR="008E7085" w:rsidRPr="00390B8E">
        <w:rPr>
          <w:color w:val="000000" w:themeColor="text1"/>
        </w:rPr>
        <w:t>voltage</w:t>
      </w:r>
      <w:r w:rsidR="009A5E0A" w:rsidRPr="00390B8E">
        <w:rPr>
          <w:color w:val="000000" w:themeColor="text1"/>
        </w:rPr>
        <w:t xml:space="preserve"> range</w:t>
      </w:r>
      <w:r w:rsidR="008E7085" w:rsidRPr="00390B8E">
        <w:rPr>
          <w:color w:val="000000" w:themeColor="text1"/>
        </w:rPr>
        <w:t xml:space="preserve"> </w:t>
      </w:r>
      <w:r w:rsidR="009A5E0A" w:rsidRPr="00390B8E">
        <w:rPr>
          <w:color w:val="000000" w:themeColor="text1"/>
        </w:rPr>
        <w:t>or</w:t>
      </w:r>
      <w:r w:rsidR="008E7085" w:rsidRPr="00390B8E">
        <w:rPr>
          <w:color w:val="000000" w:themeColor="text1"/>
        </w:rPr>
        <w:t xml:space="preserve"> reverse flows</w:t>
      </w:r>
      <w:r w:rsidR="009A5E0A" w:rsidRPr="00390B8E">
        <w:rPr>
          <w:color w:val="000000" w:themeColor="text1"/>
        </w:rPr>
        <w:t xml:space="preserve"> </w:t>
      </w:r>
      <w:r w:rsidR="008E7085" w:rsidRPr="00390B8E">
        <w:rPr>
          <w:color w:val="000000" w:themeColor="text1"/>
        </w:rPr>
        <w:t xml:space="preserve">in constrained areas of the network </w:t>
      </w:r>
      <w:r w:rsidR="004D361C" w:rsidRPr="00390B8E">
        <w:rPr>
          <w:color w:val="000000" w:themeColor="text1"/>
        </w:rPr>
        <w:t>lead to</w:t>
      </w:r>
      <w:r w:rsidR="008E7085" w:rsidRPr="00390B8E">
        <w:rPr>
          <w:color w:val="000000" w:themeColor="text1"/>
        </w:rPr>
        <w:t xml:space="preserve"> constraints </w:t>
      </w:r>
      <w:r w:rsidR="004D361C" w:rsidRPr="00390B8E">
        <w:rPr>
          <w:color w:val="000000" w:themeColor="text1"/>
        </w:rPr>
        <w:t>developing</w:t>
      </w:r>
      <w:r w:rsidR="008E7085" w:rsidRPr="00390B8E">
        <w:rPr>
          <w:color w:val="000000" w:themeColor="text1"/>
        </w:rPr>
        <w:t xml:space="preserve"> </w:t>
      </w:r>
      <w:r w:rsidR="007D3F83" w:rsidRPr="00390B8E">
        <w:rPr>
          <w:color w:val="000000" w:themeColor="text1"/>
        </w:rPr>
        <w:t>elsewhere, potentially upstream</w:t>
      </w:r>
      <w:r w:rsidR="009A5E0A" w:rsidRPr="00390B8E">
        <w:rPr>
          <w:color w:val="000000" w:themeColor="text1"/>
        </w:rPr>
        <w:t xml:space="preserve"> as PV penetration increases on </w:t>
      </w:r>
      <w:r w:rsidR="00074C59" w:rsidRPr="00390B8E">
        <w:rPr>
          <w:color w:val="000000" w:themeColor="text1"/>
        </w:rPr>
        <w:t>multiple</w:t>
      </w:r>
      <w:r w:rsidR="009A5E0A" w:rsidRPr="00390B8E">
        <w:rPr>
          <w:color w:val="000000" w:themeColor="text1"/>
        </w:rPr>
        <w:t xml:space="preserve"> branches </w:t>
      </w:r>
      <w:r w:rsidR="00074C59" w:rsidRPr="00390B8E">
        <w:rPr>
          <w:color w:val="000000" w:themeColor="text1"/>
        </w:rPr>
        <w:t>across</w:t>
      </w:r>
      <w:r w:rsidR="009A5E0A" w:rsidRPr="00390B8E">
        <w:rPr>
          <w:color w:val="000000" w:themeColor="text1"/>
        </w:rPr>
        <w:t xml:space="preserve"> the low voltage network. </w:t>
      </w:r>
      <w:r w:rsidR="008E7085" w:rsidRPr="00390B8E">
        <w:rPr>
          <w:color w:val="000000" w:themeColor="text1"/>
        </w:rPr>
        <w:t xml:space="preserve"> </w:t>
      </w:r>
    </w:p>
    <w:p w14:paraId="599D7EE4" w14:textId="77777777" w:rsidR="004D361C" w:rsidRPr="00390B8E" w:rsidRDefault="007D3F83" w:rsidP="00C7587C">
      <w:pPr>
        <w:pStyle w:val="BodytextRPC"/>
        <w:rPr>
          <w:color w:val="000000" w:themeColor="text1"/>
        </w:rPr>
      </w:pPr>
      <w:r w:rsidRPr="00390B8E">
        <w:rPr>
          <w:color w:val="000000" w:themeColor="text1"/>
        </w:rPr>
        <w:t>Where this is possible, it</w:t>
      </w:r>
      <w:r w:rsidR="009A5E0A" w:rsidRPr="00390B8E">
        <w:rPr>
          <w:color w:val="000000" w:themeColor="text1"/>
        </w:rPr>
        <w:t xml:space="preserve"> is a relevant consideration for business case assessments for proposed </w:t>
      </w:r>
      <w:proofErr w:type="spellStart"/>
      <w:r w:rsidR="009A5E0A" w:rsidRPr="00390B8E">
        <w:rPr>
          <w:color w:val="000000" w:themeColor="text1"/>
        </w:rPr>
        <w:t>augex</w:t>
      </w:r>
      <w:proofErr w:type="spellEnd"/>
      <w:r w:rsidR="009A5E0A" w:rsidRPr="00390B8E">
        <w:rPr>
          <w:color w:val="000000" w:themeColor="text1"/>
        </w:rPr>
        <w:t xml:space="preserve">. </w:t>
      </w:r>
      <w:r w:rsidR="004D361C" w:rsidRPr="00390B8E">
        <w:rPr>
          <w:color w:val="000000" w:themeColor="text1"/>
        </w:rPr>
        <w:t xml:space="preserve">Where business case assessments neglect to consider the possibility for constraints to occur elsewhere on the network, then it is likely that the benefits of proposed </w:t>
      </w:r>
      <w:proofErr w:type="spellStart"/>
      <w:r w:rsidR="004D361C" w:rsidRPr="00390B8E">
        <w:rPr>
          <w:color w:val="000000" w:themeColor="text1"/>
        </w:rPr>
        <w:t>augex</w:t>
      </w:r>
      <w:proofErr w:type="spellEnd"/>
      <w:r w:rsidR="004D361C" w:rsidRPr="00390B8E">
        <w:rPr>
          <w:color w:val="000000" w:themeColor="text1"/>
        </w:rPr>
        <w:t xml:space="preserve"> will be overstated. </w:t>
      </w:r>
    </w:p>
    <w:p w14:paraId="425F8653" w14:textId="1EC47CBF" w:rsidR="009400BF" w:rsidRPr="00390B8E" w:rsidRDefault="009A5E0A" w:rsidP="00C7587C">
      <w:pPr>
        <w:pStyle w:val="BodytextRPC"/>
        <w:rPr>
          <w:color w:val="000000" w:themeColor="text1"/>
        </w:rPr>
      </w:pPr>
      <w:r w:rsidRPr="00390B8E">
        <w:rPr>
          <w:color w:val="000000" w:themeColor="text1"/>
        </w:rPr>
        <w:t xml:space="preserve">This issue was not considered </w:t>
      </w:r>
      <w:r w:rsidR="009400BF" w:rsidRPr="00390B8E">
        <w:rPr>
          <w:color w:val="000000" w:themeColor="text1"/>
        </w:rPr>
        <w:t xml:space="preserve">explicitly </w:t>
      </w:r>
      <w:r w:rsidRPr="00390B8E">
        <w:rPr>
          <w:color w:val="000000" w:themeColor="text1"/>
        </w:rPr>
        <w:t xml:space="preserve">as part of the Value of DER </w:t>
      </w:r>
      <w:proofErr w:type="gramStart"/>
      <w:r w:rsidRPr="00390B8E">
        <w:rPr>
          <w:color w:val="000000" w:themeColor="text1"/>
        </w:rPr>
        <w:t>study,</w:t>
      </w:r>
      <w:proofErr w:type="gramEnd"/>
      <w:r w:rsidRPr="00390B8E">
        <w:rPr>
          <w:color w:val="000000" w:themeColor="text1"/>
        </w:rPr>
        <w:t xml:space="preserve"> however it is relevant to </w:t>
      </w:r>
      <w:r w:rsidR="00074C59" w:rsidRPr="00390B8E">
        <w:rPr>
          <w:color w:val="000000" w:themeColor="text1"/>
        </w:rPr>
        <w:t>preparing</w:t>
      </w:r>
      <w:r w:rsidR="00C619B3" w:rsidRPr="00390B8E">
        <w:rPr>
          <w:color w:val="000000" w:themeColor="text1"/>
        </w:rPr>
        <w:t xml:space="preserve"> a</w:t>
      </w:r>
      <w:r w:rsidR="007D3F83" w:rsidRPr="00390B8E">
        <w:rPr>
          <w:color w:val="000000" w:themeColor="text1"/>
        </w:rPr>
        <w:t xml:space="preserve"> representative </w:t>
      </w:r>
      <w:r w:rsidRPr="00390B8E">
        <w:rPr>
          <w:color w:val="000000" w:themeColor="text1"/>
        </w:rPr>
        <w:t xml:space="preserve">business case. </w:t>
      </w:r>
      <w:r w:rsidR="00C7587C" w:rsidRPr="00390B8E">
        <w:rPr>
          <w:rFonts w:asciiTheme="minorHAnsi" w:hAnsiTheme="minorHAnsi" w:cstheme="minorHAnsi"/>
          <w:color w:val="000000" w:themeColor="text1"/>
        </w:rPr>
        <w:t xml:space="preserve">It’s also important to take this into account to properly </w:t>
      </w:r>
      <w:r w:rsidRPr="00390B8E">
        <w:rPr>
          <w:rFonts w:asciiTheme="minorHAnsi" w:hAnsiTheme="minorHAnsi" w:cstheme="minorHAnsi"/>
          <w:color w:val="000000" w:themeColor="text1"/>
        </w:rPr>
        <w:t>evaluate</w:t>
      </w:r>
      <w:r w:rsidR="00C7587C" w:rsidRPr="00390B8E">
        <w:rPr>
          <w:rFonts w:asciiTheme="minorHAnsi" w:hAnsiTheme="minorHAnsi" w:cstheme="minorHAnsi"/>
          <w:color w:val="000000" w:themeColor="text1"/>
        </w:rPr>
        <w:t xml:space="preserve"> the </w:t>
      </w:r>
      <w:r w:rsidRPr="00390B8E">
        <w:rPr>
          <w:rFonts w:asciiTheme="minorHAnsi" w:hAnsiTheme="minorHAnsi" w:cstheme="minorHAnsi"/>
          <w:color w:val="000000" w:themeColor="text1"/>
        </w:rPr>
        <w:t>relative value</w:t>
      </w:r>
      <w:r w:rsidR="00C7587C" w:rsidRPr="00390B8E">
        <w:rPr>
          <w:rFonts w:asciiTheme="minorHAnsi" w:hAnsiTheme="minorHAnsi" w:cstheme="minorHAnsi"/>
          <w:color w:val="000000" w:themeColor="text1"/>
        </w:rPr>
        <w:t xml:space="preserve"> of </w:t>
      </w:r>
      <w:r w:rsidR="00C619B3" w:rsidRPr="00390B8E">
        <w:rPr>
          <w:rFonts w:asciiTheme="minorHAnsi" w:hAnsiTheme="minorHAnsi" w:cstheme="minorHAnsi"/>
          <w:color w:val="000000" w:themeColor="text1"/>
        </w:rPr>
        <w:t xml:space="preserve">all potential technical </w:t>
      </w:r>
      <w:r w:rsidR="00C7587C" w:rsidRPr="00390B8E">
        <w:rPr>
          <w:rFonts w:asciiTheme="minorHAnsi" w:hAnsiTheme="minorHAnsi" w:cstheme="minorHAnsi"/>
          <w:color w:val="000000" w:themeColor="text1"/>
        </w:rPr>
        <w:t>solutions</w:t>
      </w:r>
      <w:r w:rsidR="007D3F83" w:rsidRPr="00390B8E">
        <w:rPr>
          <w:rFonts w:asciiTheme="minorHAnsi" w:hAnsiTheme="minorHAnsi" w:cstheme="minorHAnsi"/>
          <w:color w:val="000000" w:themeColor="text1"/>
        </w:rPr>
        <w:t>. D</w:t>
      </w:r>
      <w:r w:rsidR="00E81835" w:rsidRPr="00390B8E">
        <w:rPr>
          <w:rFonts w:asciiTheme="minorHAnsi" w:hAnsiTheme="minorHAnsi" w:cstheme="minorHAnsi"/>
          <w:color w:val="000000" w:themeColor="text1"/>
        </w:rPr>
        <w:t>istribution grid-scale storage</w:t>
      </w:r>
      <w:r w:rsidR="00480AD8" w:rsidRPr="00390B8E">
        <w:rPr>
          <w:rFonts w:asciiTheme="minorHAnsi" w:hAnsiTheme="minorHAnsi" w:cstheme="minorHAnsi"/>
          <w:color w:val="000000" w:themeColor="text1"/>
        </w:rPr>
        <w:t xml:space="preserve">, for example, </w:t>
      </w:r>
      <w:r w:rsidR="00E81835" w:rsidRPr="00390B8E">
        <w:rPr>
          <w:rFonts w:asciiTheme="minorHAnsi" w:hAnsiTheme="minorHAnsi" w:cstheme="minorHAnsi"/>
          <w:color w:val="000000" w:themeColor="text1"/>
        </w:rPr>
        <w:t>may</w:t>
      </w:r>
      <w:r w:rsidR="00480AD8" w:rsidRPr="00390B8E">
        <w:rPr>
          <w:rFonts w:asciiTheme="minorHAnsi" w:hAnsiTheme="minorHAnsi" w:cstheme="minorHAnsi"/>
          <w:color w:val="000000" w:themeColor="text1"/>
        </w:rPr>
        <w:t xml:space="preserve"> be </w:t>
      </w:r>
      <w:r w:rsidR="00074C59" w:rsidRPr="00390B8E">
        <w:rPr>
          <w:rFonts w:asciiTheme="minorHAnsi" w:hAnsiTheme="minorHAnsi" w:cstheme="minorHAnsi"/>
          <w:color w:val="000000" w:themeColor="text1"/>
        </w:rPr>
        <w:t xml:space="preserve">more expensive upfront than </w:t>
      </w:r>
      <w:r w:rsidR="004D361C" w:rsidRPr="00390B8E">
        <w:rPr>
          <w:rFonts w:asciiTheme="minorHAnsi" w:hAnsiTheme="minorHAnsi" w:cstheme="minorHAnsi"/>
          <w:color w:val="000000" w:themeColor="text1"/>
        </w:rPr>
        <w:t xml:space="preserve">a </w:t>
      </w:r>
      <w:r w:rsidR="00074C59" w:rsidRPr="00390B8E">
        <w:rPr>
          <w:rFonts w:asciiTheme="minorHAnsi" w:hAnsiTheme="minorHAnsi" w:cstheme="minorHAnsi"/>
          <w:color w:val="000000" w:themeColor="text1"/>
        </w:rPr>
        <w:t xml:space="preserve">transformer upgrade, but </w:t>
      </w:r>
      <w:r w:rsidR="004D361C" w:rsidRPr="00390B8E">
        <w:rPr>
          <w:rFonts w:asciiTheme="minorHAnsi" w:hAnsiTheme="minorHAnsi" w:cstheme="minorHAnsi"/>
          <w:color w:val="000000" w:themeColor="text1"/>
        </w:rPr>
        <w:t xml:space="preserve">may provide better support for the greater network. </w:t>
      </w:r>
    </w:p>
    <w:p w14:paraId="22D2AEA6" w14:textId="59645C7B" w:rsidR="009400BF" w:rsidRPr="00390B8E" w:rsidRDefault="009400BF" w:rsidP="00206F0A">
      <w:pPr>
        <w:pStyle w:val="BodytextRPC"/>
        <w:rPr>
          <w:color w:val="000000" w:themeColor="text1"/>
        </w:rPr>
      </w:pPr>
      <w:r w:rsidRPr="00390B8E">
        <w:rPr>
          <w:color w:val="000000" w:themeColor="text1"/>
        </w:rPr>
        <w:t xml:space="preserve">The importance of establishing a better understanding of the likely development of </w:t>
      </w:r>
      <w:r w:rsidR="00074C59" w:rsidRPr="00390B8E">
        <w:rPr>
          <w:color w:val="000000" w:themeColor="text1"/>
        </w:rPr>
        <w:t>the</w:t>
      </w:r>
      <w:r w:rsidRPr="00390B8E">
        <w:rPr>
          <w:color w:val="000000" w:themeColor="text1"/>
        </w:rPr>
        <w:t xml:space="preserve"> network</w:t>
      </w:r>
      <w:r w:rsidR="00074C59" w:rsidRPr="00390B8E">
        <w:rPr>
          <w:color w:val="000000" w:themeColor="text1"/>
        </w:rPr>
        <w:t>’s transition</w:t>
      </w:r>
      <w:r w:rsidRPr="00390B8E">
        <w:rPr>
          <w:color w:val="000000" w:themeColor="text1"/>
        </w:rPr>
        <w:t xml:space="preserve"> </w:t>
      </w:r>
      <w:r w:rsidR="00506A9D" w:rsidRPr="00390B8E">
        <w:rPr>
          <w:color w:val="000000" w:themeColor="text1"/>
        </w:rPr>
        <w:t xml:space="preserve">is another argument in support of the AER’s </w:t>
      </w:r>
      <w:r w:rsidR="00074C59" w:rsidRPr="00390B8E">
        <w:rPr>
          <w:color w:val="000000" w:themeColor="text1"/>
        </w:rPr>
        <w:t>determination</w:t>
      </w:r>
      <w:r w:rsidR="00506A9D" w:rsidRPr="00390B8E">
        <w:rPr>
          <w:color w:val="000000" w:themeColor="text1"/>
        </w:rPr>
        <w:t xml:space="preserve"> regarding the DER capex proposals of the CPPALUE networks. It is </w:t>
      </w:r>
      <w:r w:rsidR="00074C59" w:rsidRPr="00390B8E">
        <w:rPr>
          <w:color w:val="000000" w:themeColor="text1"/>
        </w:rPr>
        <w:t>likely to be</w:t>
      </w:r>
      <w:r w:rsidR="00506A9D" w:rsidRPr="00390B8E">
        <w:rPr>
          <w:color w:val="000000" w:themeColor="text1"/>
        </w:rPr>
        <w:t xml:space="preserve"> equal</w:t>
      </w:r>
      <w:r w:rsidR="00074C59" w:rsidRPr="00390B8E">
        <w:rPr>
          <w:color w:val="000000" w:themeColor="text1"/>
        </w:rPr>
        <w:t>ly relevant</w:t>
      </w:r>
      <w:r w:rsidR="00506A9D" w:rsidRPr="00390B8E">
        <w:rPr>
          <w:color w:val="000000" w:themeColor="text1"/>
        </w:rPr>
        <w:t xml:space="preserve"> to  the other networks.</w:t>
      </w:r>
    </w:p>
    <w:p w14:paraId="39ADDB23" w14:textId="6C7DCE9B" w:rsidR="004D127F" w:rsidRPr="00390B8E" w:rsidRDefault="004D127F" w:rsidP="004D127F">
      <w:pPr>
        <w:pStyle w:val="Heading2"/>
      </w:pPr>
      <w:bookmarkStart w:id="45" w:name="_Toc61341295"/>
      <w:r w:rsidRPr="00390B8E">
        <w:lastRenderedPageBreak/>
        <w:t>Evaluation of DER spending</w:t>
      </w:r>
      <w:bookmarkEnd w:id="45"/>
    </w:p>
    <w:p w14:paraId="255B5E70" w14:textId="19096B0E" w:rsidR="00BE10EF" w:rsidRPr="00390B8E" w:rsidRDefault="004D127F" w:rsidP="00206F0A">
      <w:pPr>
        <w:pStyle w:val="BodytextRPC"/>
        <w:rPr>
          <w:rFonts w:asciiTheme="minorHAnsi" w:hAnsiTheme="minorHAnsi" w:cstheme="minorHAnsi"/>
          <w:color w:val="000000" w:themeColor="text1"/>
        </w:rPr>
      </w:pPr>
      <w:r w:rsidRPr="00390B8E">
        <w:rPr>
          <w:rFonts w:asciiTheme="minorHAnsi" w:hAnsiTheme="minorHAnsi" w:cstheme="minorHAnsi"/>
          <w:color w:val="000000" w:themeColor="text1"/>
        </w:rPr>
        <w:t>The outcomes of DER spending are not</w:t>
      </w:r>
      <w:r w:rsidR="00506A9D" w:rsidRPr="00390B8E">
        <w:rPr>
          <w:rFonts w:asciiTheme="minorHAnsi" w:hAnsiTheme="minorHAnsi" w:cstheme="minorHAnsi"/>
          <w:color w:val="000000" w:themeColor="text1"/>
        </w:rPr>
        <w:t xml:space="preserve"> currently</w:t>
      </w:r>
      <w:r w:rsidRPr="00390B8E">
        <w:rPr>
          <w:rFonts w:asciiTheme="minorHAnsi" w:hAnsiTheme="minorHAnsi" w:cstheme="minorHAnsi"/>
          <w:color w:val="000000" w:themeColor="text1"/>
        </w:rPr>
        <w:t xml:space="preserve"> addressed </w:t>
      </w:r>
      <w:r w:rsidR="00506A9D" w:rsidRPr="00390B8E">
        <w:rPr>
          <w:rFonts w:asciiTheme="minorHAnsi" w:hAnsiTheme="minorHAnsi" w:cstheme="minorHAnsi"/>
          <w:color w:val="000000" w:themeColor="text1"/>
        </w:rPr>
        <w:t>by existing incentive mechanisms,</w:t>
      </w:r>
      <w:r w:rsidR="004D361C" w:rsidRPr="00390B8E">
        <w:rPr>
          <w:rFonts w:asciiTheme="minorHAnsi" w:hAnsiTheme="minorHAnsi" w:cstheme="minorHAnsi"/>
          <w:color w:val="000000" w:themeColor="text1"/>
        </w:rPr>
        <w:t xml:space="preserve"> so</w:t>
      </w:r>
      <w:r w:rsidR="001C3BD4" w:rsidRPr="00390B8E">
        <w:rPr>
          <w:rFonts w:asciiTheme="minorHAnsi" w:hAnsiTheme="minorHAnsi" w:cstheme="minorHAnsi"/>
          <w:color w:val="000000" w:themeColor="text1"/>
        </w:rPr>
        <w:t xml:space="preserve"> this may create an unbalanced</w:t>
      </w:r>
      <w:r w:rsidR="00506A9D" w:rsidRPr="00390B8E">
        <w:rPr>
          <w:rFonts w:asciiTheme="minorHAnsi" w:hAnsiTheme="minorHAnsi" w:cstheme="minorHAnsi"/>
          <w:color w:val="000000" w:themeColor="text1"/>
        </w:rPr>
        <w:t xml:space="preserve"> incentive for distributors to </w:t>
      </w:r>
      <w:r w:rsidRPr="00390B8E">
        <w:rPr>
          <w:rFonts w:asciiTheme="minorHAnsi" w:hAnsiTheme="minorHAnsi" w:cstheme="minorHAnsi"/>
          <w:color w:val="000000" w:themeColor="text1"/>
        </w:rPr>
        <w:t xml:space="preserve">underspend </w:t>
      </w:r>
      <w:r w:rsidR="00506A9D" w:rsidRPr="00390B8E">
        <w:rPr>
          <w:rFonts w:asciiTheme="minorHAnsi" w:hAnsiTheme="minorHAnsi" w:cstheme="minorHAnsi"/>
          <w:color w:val="000000" w:themeColor="text1"/>
        </w:rPr>
        <w:t>allocated</w:t>
      </w:r>
      <w:r w:rsidRPr="00390B8E">
        <w:rPr>
          <w:rFonts w:asciiTheme="minorHAnsi" w:hAnsiTheme="minorHAnsi" w:cstheme="minorHAnsi"/>
          <w:color w:val="000000" w:themeColor="text1"/>
        </w:rPr>
        <w:t xml:space="preserve"> DER </w:t>
      </w:r>
      <w:r w:rsidR="00506A9D" w:rsidRPr="00390B8E">
        <w:rPr>
          <w:rFonts w:asciiTheme="minorHAnsi" w:hAnsiTheme="minorHAnsi" w:cstheme="minorHAnsi"/>
          <w:color w:val="000000" w:themeColor="text1"/>
        </w:rPr>
        <w:t>funds</w:t>
      </w:r>
      <w:r w:rsidRPr="00390B8E">
        <w:rPr>
          <w:rFonts w:asciiTheme="minorHAnsi" w:hAnsiTheme="minorHAnsi" w:cstheme="minorHAnsi"/>
          <w:color w:val="000000" w:themeColor="text1"/>
        </w:rPr>
        <w:t>.</w:t>
      </w:r>
    </w:p>
    <w:p w14:paraId="650B364A" w14:textId="195CBEAC" w:rsidR="00A14250" w:rsidRPr="00390B8E" w:rsidRDefault="00BE10EF" w:rsidP="00206F0A">
      <w:pPr>
        <w:pStyle w:val="BodytextRPC"/>
        <w:rPr>
          <w:rFonts w:asciiTheme="minorHAnsi" w:hAnsiTheme="minorHAnsi" w:cstheme="minorHAnsi"/>
          <w:color w:val="000000" w:themeColor="text1"/>
        </w:rPr>
      </w:pPr>
      <w:r w:rsidRPr="00390B8E">
        <w:rPr>
          <w:rFonts w:asciiTheme="minorHAnsi" w:hAnsiTheme="minorHAnsi" w:cstheme="minorHAnsi"/>
          <w:color w:val="000000" w:themeColor="text1"/>
        </w:rPr>
        <w:t>We are</w:t>
      </w:r>
      <w:r w:rsidR="004D127F" w:rsidRPr="00390B8E">
        <w:rPr>
          <w:rFonts w:asciiTheme="minorHAnsi" w:hAnsiTheme="minorHAnsi" w:cstheme="minorHAnsi"/>
          <w:color w:val="000000" w:themeColor="text1"/>
        </w:rPr>
        <w:t xml:space="preserve"> also </w:t>
      </w:r>
      <w:r w:rsidRPr="00390B8E">
        <w:rPr>
          <w:rFonts w:asciiTheme="minorHAnsi" w:hAnsiTheme="minorHAnsi" w:cstheme="minorHAnsi"/>
          <w:color w:val="000000" w:themeColor="text1"/>
        </w:rPr>
        <w:t>concerned</w:t>
      </w:r>
      <w:r w:rsidR="004D127F" w:rsidRPr="00390B8E">
        <w:rPr>
          <w:rFonts w:asciiTheme="minorHAnsi" w:hAnsiTheme="minorHAnsi" w:cstheme="minorHAnsi"/>
          <w:color w:val="000000" w:themeColor="text1"/>
        </w:rPr>
        <w:t xml:space="preserve"> that any scheme developed to </w:t>
      </w:r>
      <w:r w:rsidR="00E97DA7" w:rsidRPr="00390B8E">
        <w:rPr>
          <w:rFonts w:asciiTheme="minorHAnsi" w:hAnsiTheme="minorHAnsi" w:cstheme="minorHAnsi"/>
          <w:color w:val="000000" w:themeColor="text1"/>
        </w:rPr>
        <w:t>incentivise or oversee</w:t>
      </w:r>
      <w:r w:rsidR="004D127F" w:rsidRPr="00390B8E">
        <w:rPr>
          <w:rFonts w:asciiTheme="minorHAnsi" w:hAnsiTheme="minorHAnsi" w:cstheme="minorHAnsi"/>
          <w:color w:val="000000" w:themeColor="text1"/>
        </w:rPr>
        <w:t xml:space="preserve"> </w:t>
      </w:r>
      <w:r w:rsidRPr="00390B8E">
        <w:rPr>
          <w:rFonts w:asciiTheme="minorHAnsi" w:hAnsiTheme="minorHAnsi" w:cstheme="minorHAnsi"/>
          <w:color w:val="000000" w:themeColor="text1"/>
        </w:rPr>
        <w:t>DER spending</w:t>
      </w:r>
      <w:r w:rsidR="001C3BD4" w:rsidRPr="00390B8E">
        <w:rPr>
          <w:rFonts w:asciiTheme="minorHAnsi" w:hAnsiTheme="minorHAnsi" w:cstheme="minorHAnsi"/>
          <w:color w:val="000000" w:themeColor="text1"/>
        </w:rPr>
        <w:t xml:space="preserve"> </w:t>
      </w:r>
      <w:r w:rsidRPr="00390B8E">
        <w:rPr>
          <w:rFonts w:asciiTheme="minorHAnsi" w:hAnsiTheme="minorHAnsi" w:cstheme="minorHAnsi"/>
          <w:color w:val="000000" w:themeColor="text1"/>
        </w:rPr>
        <w:t>should not incentivise inefficient</w:t>
      </w:r>
      <w:r w:rsidR="00B115DD" w:rsidRPr="00390B8E">
        <w:rPr>
          <w:rFonts w:asciiTheme="minorHAnsi" w:hAnsiTheme="minorHAnsi" w:cstheme="minorHAnsi"/>
          <w:color w:val="000000" w:themeColor="text1"/>
        </w:rPr>
        <w:t xml:space="preserve"> excessive</w:t>
      </w:r>
      <w:r w:rsidRPr="00390B8E">
        <w:rPr>
          <w:rFonts w:asciiTheme="minorHAnsi" w:hAnsiTheme="minorHAnsi" w:cstheme="minorHAnsi"/>
          <w:color w:val="000000" w:themeColor="text1"/>
        </w:rPr>
        <w:t xml:space="preserve"> augmentation for </w:t>
      </w:r>
      <w:r w:rsidR="001C3BD4" w:rsidRPr="00390B8E">
        <w:rPr>
          <w:rFonts w:asciiTheme="minorHAnsi" w:hAnsiTheme="minorHAnsi" w:cstheme="minorHAnsi"/>
          <w:color w:val="000000" w:themeColor="text1"/>
        </w:rPr>
        <w:t>DER enablement</w:t>
      </w:r>
      <w:r w:rsidRPr="00390B8E">
        <w:rPr>
          <w:rFonts w:asciiTheme="minorHAnsi" w:hAnsiTheme="minorHAnsi" w:cstheme="minorHAnsi"/>
          <w:color w:val="000000" w:themeColor="text1"/>
        </w:rPr>
        <w:t xml:space="preserve">.  </w:t>
      </w:r>
      <w:r w:rsidR="00B115DD" w:rsidRPr="00390B8E">
        <w:rPr>
          <w:rFonts w:asciiTheme="minorHAnsi" w:hAnsiTheme="minorHAnsi" w:cstheme="minorHAnsi"/>
          <w:color w:val="000000" w:themeColor="text1"/>
        </w:rPr>
        <w:t>Some distributors have proposed that they measure</w:t>
      </w:r>
      <w:r w:rsidR="00864896" w:rsidRPr="00390B8E">
        <w:rPr>
          <w:rFonts w:asciiTheme="minorHAnsi" w:hAnsiTheme="minorHAnsi" w:cstheme="minorHAnsi"/>
          <w:color w:val="000000" w:themeColor="text1"/>
        </w:rPr>
        <w:t xml:space="preserve"> the outcome in terms of the amount of constrained exports enabled</w:t>
      </w:r>
      <w:r w:rsidR="00B115DD" w:rsidRPr="00390B8E">
        <w:rPr>
          <w:rFonts w:asciiTheme="minorHAnsi" w:hAnsiTheme="minorHAnsi" w:cstheme="minorHAnsi"/>
          <w:color w:val="000000" w:themeColor="text1"/>
        </w:rPr>
        <w:t>.</w:t>
      </w:r>
      <w:r w:rsidR="00A14250" w:rsidRPr="00390B8E">
        <w:rPr>
          <w:rFonts w:asciiTheme="minorHAnsi" w:hAnsiTheme="minorHAnsi" w:cstheme="minorHAnsi"/>
          <w:color w:val="000000" w:themeColor="text1"/>
        </w:rPr>
        <w:t xml:space="preserve"> The consumer outcomes-focused approach is positive, however the value of exports should also be considered with respect to the development of the network as a whole, as discussed above. </w:t>
      </w:r>
    </w:p>
    <w:p w14:paraId="38049F54" w14:textId="0B1EA1B9" w:rsidR="00206F0A" w:rsidRPr="00390B8E" w:rsidRDefault="00B46557" w:rsidP="000C5C1C">
      <w:pPr>
        <w:pStyle w:val="BodytextRPC"/>
        <w:rPr>
          <w:rFonts w:asciiTheme="minorHAnsi" w:hAnsiTheme="minorHAnsi" w:cstheme="minorHAnsi"/>
          <w:color w:val="000000" w:themeColor="text1"/>
        </w:rPr>
      </w:pPr>
      <w:r w:rsidRPr="00390B8E">
        <w:rPr>
          <w:rFonts w:asciiTheme="minorHAnsi" w:hAnsiTheme="minorHAnsi" w:cstheme="minorHAnsi"/>
          <w:color w:val="000000" w:themeColor="text1"/>
        </w:rPr>
        <w:t>AusNet</w:t>
      </w:r>
      <w:r w:rsidR="00A41979" w:rsidRPr="00390B8E">
        <w:rPr>
          <w:rFonts w:asciiTheme="minorHAnsi" w:hAnsiTheme="minorHAnsi" w:cstheme="minorHAnsi"/>
          <w:color w:val="000000" w:themeColor="text1"/>
        </w:rPr>
        <w:t xml:space="preserve"> Services’ indication that they will return unspent </w:t>
      </w:r>
      <w:r w:rsidR="00A14250" w:rsidRPr="00390B8E">
        <w:rPr>
          <w:rFonts w:asciiTheme="minorHAnsi" w:hAnsiTheme="minorHAnsi" w:cstheme="minorHAnsi"/>
          <w:color w:val="000000" w:themeColor="text1"/>
        </w:rPr>
        <w:t xml:space="preserve">funds is also a positive step. It is also important that the augmentation undertaken is </w:t>
      </w:r>
      <w:r w:rsidR="00996B84" w:rsidRPr="00390B8E">
        <w:rPr>
          <w:rFonts w:asciiTheme="minorHAnsi" w:hAnsiTheme="minorHAnsi" w:cstheme="minorHAnsi"/>
          <w:color w:val="000000" w:themeColor="text1"/>
        </w:rPr>
        <w:t xml:space="preserve">confirmed to return a net benefit. </w:t>
      </w:r>
      <w:r w:rsidR="00A14250" w:rsidRPr="00390B8E">
        <w:rPr>
          <w:rFonts w:asciiTheme="minorHAnsi" w:hAnsiTheme="minorHAnsi" w:cstheme="minorHAnsi"/>
          <w:color w:val="000000" w:themeColor="text1"/>
        </w:rPr>
        <w:t xml:space="preserve"> </w:t>
      </w:r>
    </w:p>
    <w:p w14:paraId="08E5DFD3" w14:textId="231FF809" w:rsidR="00206F0A" w:rsidRPr="00390B8E" w:rsidRDefault="00206F0A" w:rsidP="000C5C1C">
      <w:pPr>
        <w:pStyle w:val="BodytextRPC"/>
        <w:rPr>
          <w:rFonts w:asciiTheme="minorHAnsi" w:hAnsiTheme="minorHAnsi" w:cstheme="minorHAnsi"/>
          <w:color w:val="000000" w:themeColor="text1"/>
        </w:rPr>
      </w:pPr>
      <w:r w:rsidRPr="00390B8E">
        <w:rPr>
          <w:noProof/>
          <w:color w:val="000000" w:themeColor="text1"/>
        </w:rPr>
        <mc:AlternateContent>
          <mc:Choice Requires="wps">
            <w:drawing>
              <wp:anchor distT="0" distB="0" distL="114300" distR="114300" simplePos="0" relativeHeight="251658248" behindDoc="0" locked="0" layoutInCell="1" allowOverlap="1" wp14:anchorId="0444DA3E" wp14:editId="78320572">
                <wp:simplePos x="0" y="0"/>
                <wp:positionH relativeFrom="column">
                  <wp:posOffset>2540</wp:posOffset>
                </wp:positionH>
                <wp:positionV relativeFrom="paragraph">
                  <wp:posOffset>212090</wp:posOffset>
                </wp:positionV>
                <wp:extent cx="5287645" cy="1828800"/>
                <wp:effectExtent l="0" t="0" r="8255" b="17780"/>
                <wp:wrapSquare wrapText="bothSides"/>
                <wp:docPr id="17" name="Text Box 17"/>
                <wp:cNvGraphicFramePr/>
                <a:graphic xmlns:a="http://schemas.openxmlformats.org/drawingml/2006/main">
                  <a:graphicData uri="http://schemas.microsoft.com/office/word/2010/wordprocessingShape">
                    <wps:wsp>
                      <wps:cNvSpPr txBox="1"/>
                      <wps:spPr>
                        <a:xfrm>
                          <a:off x="0" y="0"/>
                          <a:ext cx="5287645" cy="1828800"/>
                        </a:xfrm>
                        <a:prstGeom prst="rect">
                          <a:avLst/>
                        </a:prstGeom>
                        <a:noFill/>
                        <a:ln w="6350">
                          <a:solidFill>
                            <a:prstClr val="black"/>
                          </a:solidFill>
                        </a:ln>
                      </wps:spPr>
                      <wps:txbx>
                        <w:txbxContent>
                          <w:p w14:paraId="7490FBE7" w14:textId="3D78B72F" w:rsidR="000655E0" w:rsidRPr="000E2AE6" w:rsidRDefault="000655E0" w:rsidP="00573251">
                            <w:pPr>
                              <w:pStyle w:val="BodytextRPC"/>
                              <w:shd w:val="clear" w:color="auto" w:fill="000000" w:themeFill="text1"/>
                              <w:rPr>
                                <w:rFonts w:asciiTheme="minorHAnsi" w:hAnsiTheme="minorHAnsi" w:cstheme="minorHAnsi"/>
                              </w:rPr>
                            </w:pPr>
                            <w:r>
                              <w:rPr>
                                <w:rFonts w:asciiTheme="minorHAnsi" w:hAnsiTheme="minorHAnsi" w:cstheme="minorHAnsi"/>
                              </w:rPr>
                              <w:t>Key points:</w:t>
                            </w:r>
                          </w:p>
                          <w:p w14:paraId="203B1E90" w14:textId="675156D5" w:rsidR="000655E0" w:rsidRDefault="000655E0" w:rsidP="000F32EE">
                            <w:pPr>
                              <w:pStyle w:val="BodytextRPC"/>
                              <w:numPr>
                                <w:ilvl w:val="1"/>
                                <w:numId w:val="13"/>
                              </w:numPr>
                            </w:pPr>
                            <w:r>
                              <w:t xml:space="preserve">We support the approach of the AER’s Draft Determination for the CPPALUE networks’ DER integration proposal – we also suggest that the critiques made for the other networks are equally valid. </w:t>
                            </w:r>
                          </w:p>
                          <w:p w14:paraId="367D27B5" w14:textId="24817CF1" w:rsidR="000655E0" w:rsidRDefault="000655E0" w:rsidP="000F32EE">
                            <w:pPr>
                              <w:pStyle w:val="BodytextRPC"/>
                              <w:numPr>
                                <w:ilvl w:val="1"/>
                                <w:numId w:val="13"/>
                              </w:numPr>
                            </w:pPr>
                            <w:r>
                              <w:t xml:space="preserve">Given that this is a new class of expenditure, we believe that customers would benefit from a consistent approach across the state (relative to local network conditions.) The Value of DER report will support a uniform approach, however other aspects of network planning are also relevant. </w:t>
                            </w:r>
                          </w:p>
                          <w:p w14:paraId="1E6E2EB1" w14:textId="68650C3F" w:rsidR="000655E0" w:rsidRPr="00FE0B94" w:rsidRDefault="000655E0" w:rsidP="000F32EE">
                            <w:pPr>
                              <w:pStyle w:val="BodytextRPC"/>
                              <w:numPr>
                                <w:ilvl w:val="1"/>
                                <w:numId w:val="13"/>
                              </w:numPr>
                            </w:pPr>
                            <w:r>
                              <w:t xml:space="preserve">We welcome measures from the networks to provide accountability for DER integration spending. A uniform approach should be developed, that demonstrates value for customers.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444DA3E" id="Text Box 17" o:spid="_x0000_s1033" type="#_x0000_t202" style="position:absolute;margin-left:.2pt;margin-top:16.7pt;width:416.35pt;height:2in;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" filled="f" strokeweight=".5pt">
                <v:textbox style="mso-fit-shape-to-text:t">
                  <w:txbxContent>
                    <w:p w14:paraId="7490FBE7" w14:textId="3D78B72F" w:rsidR="000655E0" w:rsidRPr="000E2AE6" w:rsidRDefault="000655E0" w:rsidP="00573251">
                      <w:pPr>
                        <w:pStyle w:val="BodytextRPC"/>
                        <w:shd w:val="clear" w:color="auto" w:fill="000000" w:themeFill="text1"/>
                        <w:rPr>
                          <w:rFonts w:asciiTheme="minorHAnsi" w:hAnsiTheme="minorHAnsi" w:cstheme="minorHAnsi"/>
                        </w:rPr>
                      </w:pPr>
                      <w:r>
                        <w:rPr>
                          <w:rFonts w:asciiTheme="minorHAnsi" w:hAnsiTheme="minorHAnsi" w:cstheme="minorHAnsi"/>
                        </w:rPr>
                        <w:t>Key points:</w:t>
                      </w:r>
                    </w:p>
                    <w:p w14:paraId="203B1E90" w14:textId="675156D5" w:rsidR="000655E0" w:rsidRDefault="000655E0" w:rsidP="000F32EE">
                      <w:pPr>
                        <w:pStyle w:val="BodytextRPC"/>
                        <w:numPr>
                          <w:ilvl w:val="1"/>
                          <w:numId w:val="13"/>
                        </w:numPr>
                      </w:pPr>
                      <w:r>
                        <w:t xml:space="preserve">We support the approach of the AER’s Draft Determination for the CPPALUE networks’ DER integration proposal – we also suggest that the critiques made for the other networks are equally valid. </w:t>
                      </w:r>
                    </w:p>
                    <w:p w14:paraId="367D27B5" w14:textId="24817CF1" w:rsidR="000655E0" w:rsidRDefault="000655E0" w:rsidP="000F32EE">
                      <w:pPr>
                        <w:pStyle w:val="BodytextRPC"/>
                        <w:numPr>
                          <w:ilvl w:val="1"/>
                          <w:numId w:val="13"/>
                        </w:numPr>
                      </w:pPr>
                      <w:r>
                        <w:t xml:space="preserve">Given that this is a new class of expenditure, we believe that customers would benefit from a consistent approach across the state (relative to local network conditions.) The Value of DER report will support a uniform approach, however other aspects of network planning are also relevant. </w:t>
                      </w:r>
                    </w:p>
                    <w:p w14:paraId="1E6E2EB1" w14:textId="68650C3F" w:rsidR="000655E0" w:rsidRPr="00FE0B94" w:rsidRDefault="000655E0" w:rsidP="000F32EE">
                      <w:pPr>
                        <w:pStyle w:val="BodytextRPC"/>
                        <w:numPr>
                          <w:ilvl w:val="1"/>
                          <w:numId w:val="13"/>
                        </w:numPr>
                      </w:pPr>
                      <w:r>
                        <w:t xml:space="preserve">We welcome measures from the networks to provide accountability for DER integration spending. A uniform approach should be developed, that demonstrates value for customers. </w:t>
                      </w:r>
                    </w:p>
                  </w:txbxContent>
                </v:textbox>
                <w10:wrap type="square"/>
              </v:shape>
            </w:pict>
          </mc:Fallback>
        </mc:AlternateContent>
      </w:r>
    </w:p>
    <w:p w14:paraId="353EECB1" w14:textId="77777777" w:rsidR="005C4889" w:rsidRPr="00390B8E" w:rsidRDefault="005C4889" w:rsidP="00B109C2">
      <w:pPr>
        <w:rPr>
          <w:color w:val="000000" w:themeColor="text1"/>
        </w:rPr>
      </w:pPr>
      <w:bookmarkStart w:id="46" w:name="_Toc38283932"/>
    </w:p>
    <w:p w14:paraId="50048053" w14:textId="5C6BD9F9" w:rsidR="00B109C2" w:rsidRPr="00390B8E" w:rsidRDefault="00B109C2" w:rsidP="00B109C2">
      <w:pPr>
        <w:pStyle w:val="Heading1"/>
        <w:numPr>
          <w:ilvl w:val="0"/>
          <w:numId w:val="11"/>
        </w:numPr>
        <w:rPr>
          <w:rFonts w:asciiTheme="minorHAnsi" w:hAnsiTheme="minorHAnsi" w:cstheme="minorHAnsi"/>
        </w:rPr>
      </w:pPr>
      <w:bookmarkStart w:id="47" w:name="_Toc61341296"/>
      <w:bookmarkEnd w:id="46"/>
      <w:r w:rsidRPr="00390B8E">
        <w:rPr>
          <w:rFonts w:asciiTheme="minorHAnsi" w:hAnsiTheme="minorHAnsi" w:cstheme="minorHAnsi"/>
        </w:rPr>
        <w:t>Incentive Scheme</w:t>
      </w:r>
      <w:r w:rsidR="00B01ADB" w:rsidRPr="00390B8E">
        <w:rPr>
          <w:rFonts w:asciiTheme="minorHAnsi" w:hAnsiTheme="minorHAnsi" w:cstheme="minorHAnsi"/>
        </w:rPr>
        <w:t>s</w:t>
      </w:r>
      <w:bookmarkEnd w:id="47"/>
    </w:p>
    <w:p w14:paraId="57BBC917" w14:textId="77777777" w:rsidR="00B109C2" w:rsidRPr="00390B8E" w:rsidRDefault="00B109C2" w:rsidP="00B109C2">
      <w:pPr>
        <w:pStyle w:val="Heading2"/>
      </w:pPr>
      <w:bookmarkStart w:id="48" w:name="_Toc61341297"/>
      <w:r w:rsidRPr="00390B8E">
        <w:t>Customer Service Incentive Scheme</w:t>
      </w:r>
      <w:bookmarkEnd w:id="48"/>
    </w:p>
    <w:p w14:paraId="604AAA99" w14:textId="46319578" w:rsidR="00863C33" w:rsidRPr="00390B8E" w:rsidRDefault="0034641C" w:rsidP="00B109C2">
      <w:pPr>
        <w:pStyle w:val="BodytextRPC"/>
        <w:rPr>
          <w:color w:val="000000" w:themeColor="text1"/>
        </w:rPr>
      </w:pPr>
      <w:r w:rsidRPr="00390B8E">
        <w:rPr>
          <w:color w:val="000000" w:themeColor="text1"/>
        </w:rPr>
        <w:t>The proposed Customer Service Incentive Schemes (CSIS)</w:t>
      </w:r>
      <w:r w:rsidR="00863C33" w:rsidRPr="00390B8E">
        <w:rPr>
          <w:color w:val="000000" w:themeColor="text1"/>
        </w:rPr>
        <w:t xml:space="preserve"> is a</w:t>
      </w:r>
      <w:r w:rsidR="00031C82" w:rsidRPr="00390B8E">
        <w:rPr>
          <w:color w:val="000000" w:themeColor="text1"/>
        </w:rPr>
        <w:t>n</w:t>
      </w:r>
      <w:r w:rsidR="00863C33" w:rsidRPr="00390B8E">
        <w:rPr>
          <w:color w:val="000000" w:themeColor="text1"/>
        </w:rPr>
        <w:t xml:space="preserve"> example of </w:t>
      </w:r>
      <w:r w:rsidR="00031C82" w:rsidRPr="00390B8E">
        <w:rPr>
          <w:color w:val="000000" w:themeColor="text1"/>
        </w:rPr>
        <w:t>the way</w:t>
      </w:r>
      <w:r w:rsidR="00863C33" w:rsidRPr="00390B8E">
        <w:rPr>
          <w:color w:val="000000" w:themeColor="text1"/>
        </w:rPr>
        <w:t xml:space="preserve"> different customer consultation processes can lead to </w:t>
      </w:r>
      <w:r w:rsidR="007A1B25" w:rsidRPr="00390B8E">
        <w:rPr>
          <w:color w:val="000000" w:themeColor="text1"/>
        </w:rPr>
        <w:t>different outcomes.</w:t>
      </w:r>
    </w:p>
    <w:p w14:paraId="5B9BB49D" w14:textId="6C7E4B00" w:rsidR="00B109C2" w:rsidRPr="00390B8E" w:rsidRDefault="00B109C2" w:rsidP="00B109C2">
      <w:pPr>
        <w:pStyle w:val="BodytextRPC"/>
        <w:rPr>
          <w:color w:val="000000" w:themeColor="text1"/>
        </w:rPr>
      </w:pPr>
      <w:r w:rsidRPr="00390B8E">
        <w:rPr>
          <w:color w:val="000000" w:themeColor="text1"/>
        </w:rPr>
        <w:t xml:space="preserve">Jemena has </w:t>
      </w:r>
      <w:r w:rsidR="008C6A38" w:rsidRPr="00390B8E">
        <w:rPr>
          <w:color w:val="000000" w:themeColor="text1"/>
        </w:rPr>
        <w:t>retained the STPIS phone answering metric, in response to the advice of the</w:t>
      </w:r>
      <w:r w:rsidRPr="00390B8E">
        <w:rPr>
          <w:color w:val="000000" w:themeColor="text1"/>
        </w:rPr>
        <w:t xml:space="preserve"> </w:t>
      </w:r>
      <w:r w:rsidR="00863C33" w:rsidRPr="00390B8E">
        <w:rPr>
          <w:color w:val="000000" w:themeColor="text1"/>
        </w:rPr>
        <w:t>P</w:t>
      </w:r>
      <w:r w:rsidRPr="00390B8E">
        <w:rPr>
          <w:color w:val="000000" w:themeColor="text1"/>
        </w:rPr>
        <w:t xml:space="preserve">eoples’ </w:t>
      </w:r>
      <w:r w:rsidR="00863C33" w:rsidRPr="00390B8E">
        <w:rPr>
          <w:color w:val="000000" w:themeColor="text1"/>
        </w:rPr>
        <w:t>P</w:t>
      </w:r>
      <w:r w:rsidRPr="00390B8E">
        <w:rPr>
          <w:color w:val="000000" w:themeColor="text1"/>
        </w:rPr>
        <w:t xml:space="preserve">anel that </w:t>
      </w:r>
      <w:r w:rsidR="00401F0D" w:rsidRPr="00390B8E">
        <w:rPr>
          <w:color w:val="000000" w:themeColor="text1"/>
        </w:rPr>
        <w:t xml:space="preserve">a CSIS is not </w:t>
      </w:r>
      <w:r w:rsidR="007A1B25" w:rsidRPr="00390B8E">
        <w:rPr>
          <w:color w:val="000000" w:themeColor="text1"/>
        </w:rPr>
        <w:t>warranted</w:t>
      </w:r>
      <w:r w:rsidR="008C6A38" w:rsidRPr="00390B8E">
        <w:rPr>
          <w:color w:val="000000" w:themeColor="text1"/>
        </w:rPr>
        <w:t>.</w:t>
      </w:r>
    </w:p>
    <w:p w14:paraId="7F6CDB20" w14:textId="721D9558" w:rsidR="00B109C2" w:rsidRPr="00390B8E" w:rsidRDefault="00B109C2" w:rsidP="00B109C2">
      <w:pPr>
        <w:pStyle w:val="BodytextRPC"/>
        <w:rPr>
          <w:color w:val="000000" w:themeColor="text1"/>
        </w:rPr>
      </w:pPr>
      <w:r w:rsidRPr="00390B8E">
        <w:rPr>
          <w:color w:val="000000" w:themeColor="text1"/>
        </w:rPr>
        <w:lastRenderedPageBreak/>
        <w:t xml:space="preserve">The CPPALUE networks introduced a </w:t>
      </w:r>
      <w:r w:rsidR="00FA0B9F" w:rsidRPr="00390B8E">
        <w:rPr>
          <w:color w:val="000000" w:themeColor="text1"/>
        </w:rPr>
        <w:t>CSIS</w:t>
      </w:r>
      <w:r w:rsidRPr="00390B8E">
        <w:rPr>
          <w:color w:val="000000" w:themeColor="text1"/>
        </w:rPr>
        <w:t xml:space="preserve"> in their revised proposal, </w:t>
      </w:r>
      <w:r w:rsidR="00FA0B9F" w:rsidRPr="00390B8E">
        <w:rPr>
          <w:color w:val="000000" w:themeColor="text1"/>
        </w:rPr>
        <w:t xml:space="preserve">in </w:t>
      </w:r>
      <w:r w:rsidR="00401F0D" w:rsidRPr="00390B8E">
        <w:rPr>
          <w:color w:val="000000" w:themeColor="text1"/>
        </w:rPr>
        <w:t>response to</w:t>
      </w:r>
      <w:r w:rsidRPr="00390B8E">
        <w:rPr>
          <w:color w:val="000000" w:themeColor="text1"/>
        </w:rPr>
        <w:t xml:space="preserve"> </w:t>
      </w:r>
      <w:r w:rsidR="00B46557" w:rsidRPr="00390B8E">
        <w:rPr>
          <w:color w:val="000000" w:themeColor="text1"/>
        </w:rPr>
        <w:t>AusNet</w:t>
      </w:r>
      <w:r w:rsidRPr="00390B8E">
        <w:rPr>
          <w:color w:val="000000" w:themeColor="text1"/>
        </w:rPr>
        <w:t xml:space="preserve"> Services</w:t>
      </w:r>
      <w:r w:rsidR="00FA0B9F" w:rsidRPr="00390B8E">
        <w:rPr>
          <w:color w:val="000000" w:themeColor="text1"/>
        </w:rPr>
        <w:t xml:space="preserve">’ </w:t>
      </w:r>
      <w:r w:rsidR="00401F0D" w:rsidRPr="00390B8E">
        <w:rPr>
          <w:color w:val="000000" w:themeColor="text1"/>
        </w:rPr>
        <w:t>program</w:t>
      </w:r>
      <w:r w:rsidRPr="00390B8E">
        <w:rPr>
          <w:color w:val="000000" w:themeColor="text1"/>
        </w:rPr>
        <w:t xml:space="preserve">. </w:t>
      </w:r>
    </w:p>
    <w:p w14:paraId="0E1F50A4" w14:textId="29AE19B9" w:rsidR="00B109C2" w:rsidRPr="00390B8E" w:rsidRDefault="00B109C2" w:rsidP="00B109C2">
      <w:pPr>
        <w:pStyle w:val="BodytextRPC"/>
        <w:rPr>
          <w:color w:val="000000" w:themeColor="text1"/>
        </w:rPr>
      </w:pPr>
      <w:r w:rsidRPr="00390B8E">
        <w:rPr>
          <w:color w:val="000000" w:themeColor="text1"/>
        </w:rPr>
        <w:t>CPPALUE surveyed customers to inform</w:t>
      </w:r>
      <w:r w:rsidR="00FA0B9F" w:rsidRPr="00390B8E">
        <w:rPr>
          <w:color w:val="000000" w:themeColor="text1"/>
        </w:rPr>
        <w:t xml:space="preserve"> the design of the</w:t>
      </w:r>
      <w:r w:rsidRPr="00390B8E">
        <w:rPr>
          <w:color w:val="000000" w:themeColor="text1"/>
        </w:rPr>
        <w:t xml:space="preserve"> scheme</w:t>
      </w:r>
      <w:r w:rsidR="00FA0B9F" w:rsidRPr="00390B8E">
        <w:rPr>
          <w:color w:val="000000" w:themeColor="text1"/>
        </w:rPr>
        <w:t xml:space="preserve">. This resulted in a proposal that </w:t>
      </w:r>
      <w:r w:rsidR="00401F0D" w:rsidRPr="00390B8E">
        <w:rPr>
          <w:color w:val="000000" w:themeColor="text1"/>
        </w:rPr>
        <w:t>would reward</w:t>
      </w:r>
      <w:r w:rsidRPr="00390B8E">
        <w:rPr>
          <w:color w:val="000000" w:themeColor="text1"/>
        </w:rPr>
        <w:t xml:space="preserve"> </w:t>
      </w:r>
      <w:r w:rsidR="00FA0B9F" w:rsidRPr="00390B8E">
        <w:rPr>
          <w:color w:val="000000" w:themeColor="text1"/>
        </w:rPr>
        <w:t xml:space="preserve">improvement on </w:t>
      </w:r>
      <w:r w:rsidRPr="00390B8E">
        <w:rPr>
          <w:color w:val="000000" w:themeColor="text1"/>
        </w:rPr>
        <w:t xml:space="preserve">planned </w:t>
      </w:r>
      <w:r w:rsidR="00FA0B9F" w:rsidRPr="00390B8E">
        <w:rPr>
          <w:color w:val="000000" w:themeColor="text1"/>
        </w:rPr>
        <w:t>SAIFI and SAIDI metrics</w:t>
      </w:r>
      <w:r w:rsidRPr="00390B8E">
        <w:rPr>
          <w:color w:val="000000" w:themeColor="text1"/>
        </w:rPr>
        <w:t>, SMS notification</w:t>
      </w:r>
      <w:r w:rsidR="00FA0B9F" w:rsidRPr="00390B8E">
        <w:rPr>
          <w:color w:val="000000" w:themeColor="text1"/>
        </w:rPr>
        <w:t xml:space="preserve"> for outages</w:t>
      </w:r>
      <w:r w:rsidRPr="00390B8E">
        <w:rPr>
          <w:color w:val="000000" w:themeColor="text1"/>
        </w:rPr>
        <w:t xml:space="preserve">, </w:t>
      </w:r>
      <w:r w:rsidR="00401F0D" w:rsidRPr="00390B8E">
        <w:rPr>
          <w:color w:val="000000" w:themeColor="text1"/>
        </w:rPr>
        <w:t xml:space="preserve">and a smaller amount for </w:t>
      </w:r>
      <w:r w:rsidR="00FA0B9F" w:rsidRPr="00390B8E">
        <w:rPr>
          <w:color w:val="000000" w:themeColor="text1"/>
        </w:rPr>
        <w:t>the</w:t>
      </w:r>
      <w:r w:rsidRPr="00390B8E">
        <w:rPr>
          <w:color w:val="000000" w:themeColor="text1"/>
        </w:rPr>
        <w:t xml:space="preserve"> </w:t>
      </w:r>
      <w:r w:rsidR="00FA0B9F" w:rsidRPr="00390B8E">
        <w:rPr>
          <w:color w:val="000000" w:themeColor="text1"/>
        </w:rPr>
        <w:t>call-answering metric</w:t>
      </w:r>
      <w:r w:rsidRPr="00390B8E">
        <w:rPr>
          <w:color w:val="000000" w:themeColor="text1"/>
        </w:rPr>
        <w:t xml:space="preserve">. </w:t>
      </w:r>
    </w:p>
    <w:p w14:paraId="18460ABB" w14:textId="16A2EFD6" w:rsidR="006E26AD" w:rsidRPr="00390B8E" w:rsidRDefault="008C6A38" w:rsidP="00B109C2">
      <w:pPr>
        <w:pStyle w:val="BodytextRPC"/>
        <w:rPr>
          <w:color w:val="000000" w:themeColor="text1"/>
        </w:rPr>
      </w:pPr>
      <w:r w:rsidRPr="00390B8E">
        <w:rPr>
          <w:color w:val="000000" w:themeColor="text1"/>
        </w:rPr>
        <w:t>These metrics are reasonable and</w:t>
      </w:r>
      <w:r w:rsidR="00B109C2" w:rsidRPr="00390B8E">
        <w:rPr>
          <w:color w:val="000000" w:themeColor="text1"/>
        </w:rPr>
        <w:t xml:space="preserve"> are </w:t>
      </w:r>
      <w:r w:rsidR="00FA0B9F" w:rsidRPr="00390B8E">
        <w:rPr>
          <w:color w:val="000000" w:themeColor="text1"/>
        </w:rPr>
        <w:t xml:space="preserve">a </w:t>
      </w:r>
      <w:r w:rsidRPr="00390B8E">
        <w:rPr>
          <w:color w:val="000000" w:themeColor="text1"/>
        </w:rPr>
        <w:t>likely</w:t>
      </w:r>
      <w:r w:rsidR="00FA0B9F" w:rsidRPr="00390B8E">
        <w:rPr>
          <w:color w:val="000000" w:themeColor="text1"/>
        </w:rPr>
        <w:t xml:space="preserve"> </w:t>
      </w:r>
      <w:r w:rsidR="00B109C2" w:rsidRPr="00390B8E">
        <w:rPr>
          <w:color w:val="000000" w:themeColor="text1"/>
        </w:rPr>
        <w:t>reflect</w:t>
      </w:r>
      <w:r w:rsidR="00FA0B9F" w:rsidRPr="00390B8E">
        <w:rPr>
          <w:color w:val="000000" w:themeColor="text1"/>
        </w:rPr>
        <w:t>ion of</w:t>
      </w:r>
      <w:r w:rsidR="00B109C2" w:rsidRPr="00390B8E">
        <w:rPr>
          <w:color w:val="000000" w:themeColor="text1"/>
        </w:rPr>
        <w:t xml:space="preserve"> customer priorities. </w:t>
      </w:r>
      <w:r w:rsidR="006E26AD" w:rsidRPr="00390B8E">
        <w:rPr>
          <w:color w:val="000000" w:themeColor="text1"/>
        </w:rPr>
        <w:t xml:space="preserve">Metrics that are easily measurable will </w:t>
      </w:r>
      <w:r w:rsidR="007A1B25" w:rsidRPr="00390B8E">
        <w:rPr>
          <w:color w:val="000000" w:themeColor="text1"/>
        </w:rPr>
        <w:t xml:space="preserve">provide a </w:t>
      </w:r>
      <w:r w:rsidR="00CB07A1" w:rsidRPr="00390B8E">
        <w:rPr>
          <w:color w:val="000000" w:themeColor="text1"/>
        </w:rPr>
        <w:t>more accurate indication</w:t>
      </w:r>
      <w:r w:rsidR="007A1B25" w:rsidRPr="00390B8E">
        <w:rPr>
          <w:color w:val="000000" w:themeColor="text1"/>
        </w:rPr>
        <w:t xml:space="preserve"> of improvement</w:t>
      </w:r>
      <w:r w:rsidR="00CE0558" w:rsidRPr="00390B8E">
        <w:rPr>
          <w:color w:val="000000" w:themeColor="text1"/>
        </w:rPr>
        <w:t xml:space="preserve"> than</w:t>
      </w:r>
      <w:r w:rsidR="00401F0D" w:rsidRPr="00390B8E">
        <w:rPr>
          <w:color w:val="000000" w:themeColor="text1"/>
        </w:rPr>
        <w:t xml:space="preserve"> </w:t>
      </w:r>
      <w:r w:rsidR="00CE0558" w:rsidRPr="00390B8E">
        <w:rPr>
          <w:color w:val="000000" w:themeColor="text1"/>
        </w:rPr>
        <w:t xml:space="preserve">sample </w:t>
      </w:r>
      <w:r w:rsidR="00401F0D" w:rsidRPr="00390B8E">
        <w:rPr>
          <w:color w:val="000000" w:themeColor="text1"/>
        </w:rPr>
        <w:t>data collected through a survey</w:t>
      </w:r>
      <w:r w:rsidR="00CB07A1" w:rsidRPr="00390B8E">
        <w:rPr>
          <w:color w:val="000000" w:themeColor="text1"/>
        </w:rPr>
        <w:t xml:space="preserve"> (this is especially true given the uneven distribution of reliability events across the network)</w:t>
      </w:r>
      <w:r w:rsidR="006E26AD" w:rsidRPr="00390B8E">
        <w:rPr>
          <w:color w:val="000000" w:themeColor="text1"/>
        </w:rPr>
        <w:t>.</w:t>
      </w:r>
      <w:r w:rsidR="00CE0558" w:rsidRPr="00390B8E">
        <w:rPr>
          <w:color w:val="000000" w:themeColor="text1"/>
        </w:rPr>
        <w:t xml:space="preserve"> The scheme will allow benchmarking over time and between networks that will assist in setting appropriate targets to underpin ongoing improvement.</w:t>
      </w:r>
    </w:p>
    <w:p w14:paraId="0CDB0468" w14:textId="03D7A6C2" w:rsidR="007A1B25" w:rsidRPr="00390B8E" w:rsidRDefault="00CE0558" w:rsidP="00B109C2">
      <w:pPr>
        <w:pStyle w:val="BodytextRPC"/>
        <w:rPr>
          <w:color w:val="000000" w:themeColor="text1"/>
        </w:rPr>
      </w:pPr>
      <w:r w:rsidRPr="00390B8E">
        <w:rPr>
          <w:color w:val="000000" w:themeColor="text1"/>
        </w:rPr>
        <w:t xml:space="preserve">The metrics identified through CPPALUE’s engagement program are similar to those nominated by </w:t>
      </w:r>
      <w:r w:rsidR="00B46557" w:rsidRPr="00390B8E">
        <w:rPr>
          <w:color w:val="000000" w:themeColor="text1"/>
        </w:rPr>
        <w:t>AusNet</w:t>
      </w:r>
      <w:r w:rsidRPr="00390B8E">
        <w:rPr>
          <w:color w:val="000000" w:themeColor="text1"/>
        </w:rPr>
        <w:t xml:space="preserve"> Services’ customers</w:t>
      </w:r>
      <w:r w:rsidR="007F65BB" w:rsidRPr="00390B8E">
        <w:rPr>
          <w:color w:val="000000" w:themeColor="text1"/>
        </w:rPr>
        <w:t xml:space="preserve">. </w:t>
      </w:r>
      <w:r w:rsidR="00B46557" w:rsidRPr="00390B8E">
        <w:rPr>
          <w:color w:val="000000" w:themeColor="text1"/>
        </w:rPr>
        <w:t>AusNet</w:t>
      </w:r>
      <w:r w:rsidR="007F65BB" w:rsidRPr="00390B8E">
        <w:rPr>
          <w:color w:val="000000" w:themeColor="text1"/>
        </w:rPr>
        <w:t xml:space="preserve"> Services’ proposed scheme measures customer satisfaction with planned and unplanned outages, new </w:t>
      </w:r>
      <w:r w:rsidR="007A1B25" w:rsidRPr="00390B8E">
        <w:rPr>
          <w:color w:val="000000" w:themeColor="text1"/>
        </w:rPr>
        <w:t>connections</w:t>
      </w:r>
      <w:r w:rsidR="007F65BB" w:rsidRPr="00390B8E">
        <w:rPr>
          <w:color w:val="000000" w:themeColor="text1"/>
        </w:rPr>
        <w:t xml:space="preserve"> and complaints, through a survey.</w:t>
      </w:r>
    </w:p>
    <w:p w14:paraId="7CD5F33B" w14:textId="2080EB99" w:rsidR="00CE0558" w:rsidRPr="00390B8E" w:rsidRDefault="007A1B25" w:rsidP="00B109C2">
      <w:pPr>
        <w:pStyle w:val="BodytextRPC"/>
        <w:rPr>
          <w:color w:val="000000" w:themeColor="text1"/>
        </w:rPr>
      </w:pPr>
      <w:r w:rsidRPr="00390B8E">
        <w:rPr>
          <w:color w:val="000000" w:themeColor="text1"/>
        </w:rPr>
        <w:t>(Unplanned outages are already included in the STPIS, so that surveying customers on their experiences in this area may double up on incentives here, in a context where stakeholders have already raised the concern that reliability may be over-incentivised.)</w:t>
      </w:r>
    </w:p>
    <w:p w14:paraId="292D6183" w14:textId="68004F2B" w:rsidR="00CE0558" w:rsidRPr="00390B8E" w:rsidRDefault="007F65BB" w:rsidP="00B109C2">
      <w:pPr>
        <w:pStyle w:val="BodytextRPC"/>
        <w:rPr>
          <w:color w:val="000000" w:themeColor="text1"/>
        </w:rPr>
      </w:pPr>
      <w:r w:rsidRPr="00390B8E">
        <w:rPr>
          <w:color w:val="000000" w:themeColor="text1"/>
        </w:rPr>
        <w:t xml:space="preserve">Given this </w:t>
      </w:r>
      <w:r w:rsidR="007A1B25" w:rsidRPr="00390B8E">
        <w:rPr>
          <w:color w:val="000000" w:themeColor="text1"/>
        </w:rPr>
        <w:t>similarity</w:t>
      </w:r>
      <w:r w:rsidRPr="00390B8E">
        <w:rPr>
          <w:color w:val="000000" w:themeColor="text1"/>
        </w:rPr>
        <w:t xml:space="preserve">, </w:t>
      </w:r>
      <w:r w:rsidR="007A1B25" w:rsidRPr="00390B8E">
        <w:rPr>
          <w:color w:val="000000" w:themeColor="text1"/>
        </w:rPr>
        <w:t>there is an opportunity to standardise</w:t>
      </w:r>
      <w:r w:rsidRPr="00390B8E">
        <w:rPr>
          <w:color w:val="000000" w:themeColor="text1"/>
        </w:rPr>
        <w:t xml:space="preserve"> these schemes</w:t>
      </w:r>
      <w:r w:rsidR="007A1B25" w:rsidRPr="00390B8E">
        <w:rPr>
          <w:color w:val="000000" w:themeColor="text1"/>
        </w:rPr>
        <w:t>.</w:t>
      </w:r>
      <w:r w:rsidRPr="00390B8E">
        <w:rPr>
          <w:color w:val="000000" w:themeColor="text1"/>
        </w:rPr>
        <w:t xml:space="preserve"> </w:t>
      </w:r>
    </w:p>
    <w:p w14:paraId="0E87CBE3" w14:textId="73919D94" w:rsidR="00CE0558" w:rsidRPr="00390B8E" w:rsidRDefault="00CE0558" w:rsidP="00CE0558">
      <w:pPr>
        <w:pStyle w:val="BodytextRPC"/>
        <w:rPr>
          <w:color w:val="000000" w:themeColor="text1"/>
        </w:rPr>
      </w:pPr>
      <w:r w:rsidRPr="00390B8E">
        <w:rPr>
          <w:color w:val="000000" w:themeColor="text1"/>
        </w:rPr>
        <w:t xml:space="preserve">Although the new CSIS has been designed intentionally as a principles-based scheme, to allow flexible response to changes in priorities – the similarities in the design of the CPPALUE and </w:t>
      </w:r>
      <w:r w:rsidR="00B46557" w:rsidRPr="00390B8E">
        <w:rPr>
          <w:color w:val="000000" w:themeColor="text1"/>
        </w:rPr>
        <w:t>AusNet</w:t>
      </w:r>
      <w:r w:rsidRPr="00390B8E">
        <w:rPr>
          <w:color w:val="000000" w:themeColor="text1"/>
        </w:rPr>
        <w:t xml:space="preserve"> Services schemes show that currently, the services valued by customers are similar, and relate to basic core distribution business offerings. Given this </w:t>
      </w:r>
      <w:r w:rsidR="007A1B25" w:rsidRPr="00390B8E">
        <w:rPr>
          <w:color w:val="000000" w:themeColor="text1"/>
        </w:rPr>
        <w:t>result</w:t>
      </w:r>
      <w:r w:rsidRPr="00390B8E">
        <w:rPr>
          <w:color w:val="000000" w:themeColor="text1"/>
        </w:rPr>
        <w:t xml:space="preserve">, we suggest that it is worth considering whether the scheme’s capacity for flexibility outweighs the benefits that might be gained from applying uniform benchmarks. </w:t>
      </w:r>
    </w:p>
    <w:p w14:paraId="7A801BCF" w14:textId="30B6CE43" w:rsidR="00A84FCC" w:rsidRPr="00390B8E" w:rsidRDefault="00A84FCC" w:rsidP="00A84FCC">
      <w:pPr>
        <w:pStyle w:val="BodytextRPC"/>
        <w:rPr>
          <w:color w:val="000000" w:themeColor="text1"/>
        </w:rPr>
      </w:pPr>
      <w:r w:rsidRPr="00390B8E">
        <w:rPr>
          <w:noProof/>
          <w:color w:val="000000" w:themeColor="text1"/>
        </w:rPr>
        <mc:AlternateContent>
          <mc:Choice Requires="wps">
            <w:drawing>
              <wp:anchor distT="0" distB="0" distL="114300" distR="114300" simplePos="0" relativeHeight="251674637" behindDoc="0" locked="0" layoutInCell="1" allowOverlap="1" wp14:anchorId="4123D207" wp14:editId="423D74E9">
                <wp:simplePos x="0" y="0"/>
                <wp:positionH relativeFrom="column">
                  <wp:posOffset>0</wp:posOffset>
                </wp:positionH>
                <wp:positionV relativeFrom="paragraph">
                  <wp:posOffset>1006711</wp:posOffset>
                </wp:positionV>
                <wp:extent cx="5278120" cy="1828800"/>
                <wp:effectExtent l="0" t="0" r="17780" b="12065"/>
                <wp:wrapSquare wrapText="bothSides"/>
                <wp:docPr id="18" name="Text Box 18"/>
                <wp:cNvGraphicFramePr/>
                <a:graphic xmlns:a="http://schemas.openxmlformats.org/drawingml/2006/main">
                  <a:graphicData uri="http://schemas.microsoft.com/office/word/2010/wordprocessingShape">
                    <wps:wsp>
                      <wps:cNvSpPr txBox="1"/>
                      <wps:spPr>
                        <a:xfrm>
                          <a:off x="0" y="0"/>
                          <a:ext cx="5278120" cy="1828800"/>
                        </a:xfrm>
                        <a:prstGeom prst="rect">
                          <a:avLst/>
                        </a:prstGeom>
                        <a:noFill/>
                        <a:ln w="6350">
                          <a:solidFill>
                            <a:prstClr val="black"/>
                          </a:solidFill>
                        </a:ln>
                      </wps:spPr>
                      <wps:txbx>
                        <w:txbxContent>
                          <w:p w14:paraId="1FB7C21F" w14:textId="77777777" w:rsidR="000655E0" w:rsidRDefault="000655E0" w:rsidP="00A84FCC">
                            <w:pPr>
                              <w:pStyle w:val="BodytextRPC"/>
                              <w:shd w:val="clear" w:color="auto" w:fill="000000" w:themeFill="text1"/>
                            </w:pPr>
                            <w:r>
                              <w:t>Key points</w:t>
                            </w:r>
                          </w:p>
                          <w:p w14:paraId="679EE4B8" w14:textId="1AFF056E" w:rsidR="000655E0" w:rsidRDefault="000655E0" w:rsidP="00A84FCC">
                            <w:pPr>
                              <w:pStyle w:val="BodytextRPC"/>
                              <w:numPr>
                                <w:ilvl w:val="0"/>
                                <w:numId w:val="30"/>
                              </w:numPr>
                              <w:ind w:left="567"/>
                            </w:pPr>
                            <w:r>
                              <w:t xml:space="preserve">Where CSIS schemes are applied, customers will benefit from those that adopt directly measurable metrics, rather than using survey results, and those that set an </w:t>
                            </w:r>
                            <w:proofErr w:type="gramStart"/>
                            <w:r>
                              <w:t>appropriately-high</w:t>
                            </w:r>
                            <w:proofErr w:type="gramEnd"/>
                            <w:r>
                              <w:t xml:space="preserve"> bar for reward. We recommend that customers would benefit from negotiating a uniform CSIS between networks to allow benchmarking between networks and over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23D207" id="Text Box 18" o:spid="_x0000_s1034" type="#_x0000_t202" style="position:absolute;margin-left:0;margin-top:79.25pt;width:415.6pt;height:2in;z-index:2516746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" filled="f" strokeweight=".5pt">
                <v:textbox style="mso-fit-shape-to-text:t">
                  <w:txbxContent>
                    <w:p w14:paraId="1FB7C21F" w14:textId="77777777" w:rsidR="000655E0" w:rsidRDefault="000655E0" w:rsidP="00A84FCC">
                      <w:pPr>
                        <w:pStyle w:val="BodytextRPC"/>
                        <w:shd w:val="clear" w:color="auto" w:fill="000000" w:themeFill="text1"/>
                      </w:pPr>
                      <w:r>
                        <w:t>Key points</w:t>
                      </w:r>
                    </w:p>
                    <w:p w14:paraId="679EE4B8" w14:textId="1AFF056E" w:rsidR="000655E0" w:rsidRDefault="000655E0" w:rsidP="00A84FCC">
                      <w:pPr>
                        <w:pStyle w:val="BodytextRPC"/>
                        <w:numPr>
                          <w:ilvl w:val="0"/>
                          <w:numId w:val="30"/>
                        </w:numPr>
                        <w:ind w:left="567"/>
                      </w:pPr>
                      <w:r>
                        <w:t xml:space="preserve">Where CSIS schemes are applied, customers will benefit from those that adopt directly measurable metrics, rather than using survey results, and those that set an </w:t>
                      </w:r>
                      <w:proofErr w:type="gramStart"/>
                      <w:r>
                        <w:t>appropriately-high</w:t>
                      </w:r>
                      <w:proofErr w:type="gramEnd"/>
                      <w:r>
                        <w:t xml:space="preserve"> bar for reward. We recommend that customers would benefit from negotiating a uniform CSIS between networks to allow benchmarking between networks and over time. </w:t>
                      </w:r>
                    </w:p>
                  </w:txbxContent>
                </v:textbox>
                <w10:wrap type="square"/>
              </v:shape>
            </w:pict>
          </mc:Fallback>
        </mc:AlternateContent>
      </w:r>
      <w:r w:rsidRPr="00390B8E">
        <w:rPr>
          <w:color w:val="000000" w:themeColor="text1"/>
        </w:rPr>
        <w:t>We are also concerned that the targets and rewards be set at appropriate levels to incentivise improvements, not generate additional revenue for the status quo. Our</w:t>
      </w:r>
      <w:r w:rsidR="00401F0D" w:rsidRPr="00390B8E">
        <w:rPr>
          <w:color w:val="000000" w:themeColor="text1"/>
        </w:rPr>
        <w:t xml:space="preserve"> approval of the scheme is dependent on</w:t>
      </w:r>
      <w:r w:rsidR="00B109C2" w:rsidRPr="00390B8E">
        <w:rPr>
          <w:color w:val="000000" w:themeColor="text1"/>
        </w:rPr>
        <w:t xml:space="preserve"> </w:t>
      </w:r>
      <w:r w:rsidR="00401F0D" w:rsidRPr="00390B8E">
        <w:rPr>
          <w:color w:val="000000" w:themeColor="text1"/>
        </w:rPr>
        <w:t>the AER</w:t>
      </w:r>
      <w:r w:rsidRPr="00390B8E">
        <w:rPr>
          <w:color w:val="000000" w:themeColor="text1"/>
        </w:rPr>
        <w:t>’s scrutiny and satisfaction with the target set.</w:t>
      </w:r>
    </w:p>
    <w:p w14:paraId="13169C85" w14:textId="657F5E93" w:rsidR="00CE0558" w:rsidRPr="00390B8E" w:rsidRDefault="00CE0558" w:rsidP="00B109C2">
      <w:pPr>
        <w:pStyle w:val="BodytextRPC"/>
        <w:rPr>
          <w:color w:val="000000" w:themeColor="text1"/>
        </w:rPr>
      </w:pPr>
    </w:p>
    <w:p w14:paraId="6B7E6C0E" w14:textId="5D1CD0E3" w:rsidR="00A819D9" w:rsidRPr="00390B8E" w:rsidRDefault="002D1AA6" w:rsidP="00A84FCC">
      <w:pPr>
        <w:pStyle w:val="Heading2"/>
        <w:numPr>
          <w:ilvl w:val="0"/>
          <w:numId w:val="0"/>
        </w:numPr>
        <w:rPr>
          <w:lang w:eastAsia="en-GB"/>
        </w:rPr>
      </w:pPr>
      <w:bookmarkStart w:id="49" w:name="_Toc61341298"/>
      <w:r w:rsidRPr="00390B8E">
        <w:rPr>
          <w:lang w:eastAsia="en-GB"/>
        </w:rPr>
        <w:t>Incentive scheme operation and review</w:t>
      </w:r>
      <w:bookmarkEnd w:id="49"/>
    </w:p>
    <w:p w14:paraId="7C4C5ECD" w14:textId="27FE2732" w:rsidR="0012681A" w:rsidRPr="00390B8E" w:rsidRDefault="0012681A" w:rsidP="002D1AA6">
      <w:pPr>
        <w:pStyle w:val="BodytextRPC"/>
        <w:rPr>
          <w:rFonts w:asciiTheme="minorHAnsi" w:hAnsiTheme="minorHAnsi" w:cstheme="minorHAnsi"/>
          <w:color w:val="000000" w:themeColor="text1"/>
        </w:rPr>
      </w:pPr>
      <w:r w:rsidRPr="00390B8E">
        <w:rPr>
          <w:rFonts w:asciiTheme="minorHAnsi" w:hAnsiTheme="minorHAnsi" w:cstheme="minorHAnsi"/>
          <w:color w:val="000000" w:themeColor="text1"/>
        </w:rPr>
        <w:t xml:space="preserve">The attached analysis by </w:t>
      </w:r>
      <w:proofErr w:type="spellStart"/>
      <w:r w:rsidRPr="00390B8E">
        <w:rPr>
          <w:rFonts w:asciiTheme="minorHAnsi" w:hAnsiTheme="minorHAnsi" w:cstheme="minorHAnsi"/>
          <w:color w:val="000000" w:themeColor="text1"/>
        </w:rPr>
        <w:t>Headberry</w:t>
      </w:r>
      <w:proofErr w:type="spellEnd"/>
      <w:r w:rsidRPr="00390B8E">
        <w:rPr>
          <w:rFonts w:asciiTheme="minorHAnsi" w:hAnsiTheme="minorHAnsi" w:cstheme="minorHAnsi"/>
          <w:color w:val="000000" w:themeColor="text1"/>
        </w:rPr>
        <w:t xml:space="preserve"> Partners includes </w:t>
      </w:r>
      <w:r w:rsidR="00D54311" w:rsidRPr="00390B8E">
        <w:rPr>
          <w:rFonts w:asciiTheme="minorHAnsi" w:hAnsiTheme="minorHAnsi" w:cstheme="minorHAnsi"/>
          <w:color w:val="000000" w:themeColor="text1"/>
        </w:rPr>
        <w:t>commentary</w:t>
      </w:r>
      <w:r w:rsidR="00766817" w:rsidRPr="00390B8E">
        <w:rPr>
          <w:rFonts w:asciiTheme="minorHAnsi" w:hAnsiTheme="minorHAnsi" w:cstheme="minorHAnsi"/>
          <w:color w:val="000000" w:themeColor="text1"/>
        </w:rPr>
        <w:t xml:space="preserve"> on </w:t>
      </w:r>
      <w:r w:rsidR="0007137C" w:rsidRPr="00390B8E">
        <w:rPr>
          <w:rFonts w:asciiTheme="minorHAnsi" w:hAnsiTheme="minorHAnsi" w:cstheme="minorHAnsi"/>
          <w:color w:val="000000" w:themeColor="text1"/>
        </w:rPr>
        <w:t>the function of the EBSS, CESS and STPIS</w:t>
      </w:r>
      <w:r w:rsidR="00D54311" w:rsidRPr="00390B8E">
        <w:rPr>
          <w:rFonts w:asciiTheme="minorHAnsi" w:hAnsiTheme="minorHAnsi" w:cstheme="minorHAnsi"/>
          <w:color w:val="000000" w:themeColor="text1"/>
        </w:rPr>
        <w:t xml:space="preserve">, and identifies </w:t>
      </w:r>
      <w:r w:rsidR="00CB07A1" w:rsidRPr="00390B8E">
        <w:rPr>
          <w:rFonts w:asciiTheme="minorHAnsi" w:hAnsiTheme="minorHAnsi" w:cstheme="minorHAnsi"/>
          <w:color w:val="000000" w:themeColor="text1"/>
        </w:rPr>
        <w:t xml:space="preserve">indications </w:t>
      </w:r>
      <w:r w:rsidR="00D54311" w:rsidRPr="00390B8E">
        <w:rPr>
          <w:rFonts w:asciiTheme="minorHAnsi" w:hAnsiTheme="minorHAnsi" w:cstheme="minorHAnsi"/>
          <w:color w:val="000000" w:themeColor="text1"/>
        </w:rPr>
        <w:t>that these schemes may not be working to achieve value and efficiency for consumers</w:t>
      </w:r>
      <w:r w:rsidR="005806D0" w:rsidRPr="00390B8E">
        <w:rPr>
          <w:rFonts w:asciiTheme="minorHAnsi" w:hAnsiTheme="minorHAnsi" w:cstheme="minorHAnsi"/>
          <w:color w:val="000000" w:themeColor="text1"/>
        </w:rPr>
        <w:t xml:space="preserve">: </w:t>
      </w:r>
      <w:r w:rsidR="00D54311" w:rsidRPr="00390B8E">
        <w:rPr>
          <w:rFonts w:asciiTheme="minorHAnsi" w:hAnsiTheme="minorHAnsi" w:cstheme="minorHAnsi"/>
          <w:color w:val="000000" w:themeColor="text1"/>
        </w:rPr>
        <w:t>by incentivising a service level in excess of customers’ needs or priorities</w:t>
      </w:r>
      <w:r w:rsidR="005806D0" w:rsidRPr="00390B8E">
        <w:rPr>
          <w:rFonts w:asciiTheme="minorHAnsi" w:hAnsiTheme="minorHAnsi" w:cstheme="minorHAnsi"/>
          <w:color w:val="000000" w:themeColor="text1"/>
        </w:rPr>
        <w:t>;</w:t>
      </w:r>
      <w:r w:rsidR="00D54311" w:rsidRPr="00390B8E">
        <w:rPr>
          <w:rFonts w:asciiTheme="minorHAnsi" w:hAnsiTheme="minorHAnsi" w:cstheme="minorHAnsi"/>
          <w:color w:val="000000" w:themeColor="text1"/>
        </w:rPr>
        <w:t xml:space="preserve"> </w:t>
      </w:r>
      <w:r w:rsidR="002D1AA6" w:rsidRPr="00390B8E">
        <w:rPr>
          <w:rFonts w:asciiTheme="minorHAnsi" w:hAnsiTheme="minorHAnsi" w:cstheme="minorHAnsi"/>
          <w:color w:val="000000" w:themeColor="text1"/>
        </w:rPr>
        <w:t>by rewarding savings against revenue allowances that don’t represent real productivity gains</w:t>
      </w:r>
      <w:r w:rsidR="005806D0" w:rsidRPr="00390B8E">
        <w:rPr>
          <w:rFonts w:asciiTheme="minorHAnsi" w:hAnsiTheme="minorHAnsi" w:cstheme="minorHAnsi"/>
          <w:color w:val="000000" w:themeColor="text1"/>
        </w:rPr>
        <w:t>;</w:t>
      </w:r>
      <w:r w:rsidR="002D1AA6" w:rsidRPr="00390B8E">
        <w:rPr>
          <w:rFonts w:asciiTheme="minorHAnsi" w:hAnsiTheme="minorHAnsi" w:cstheme="minorHAnsi"/>
          <w:color w:val="000000" w:themeColor="text1"/>
        </w:rPr>
        <w:t xml:space="preserve"> or </w:t>
      </w:r>
      <w:r w:rsidR="005806D0" w:rsidRPr="00390B8E">
        <w:rPr>
          <w:rFonts w:asciiTheme="minorHAnsi" w:hAnsiTheme="minorHAnsi" w:cstheme="minorHAnsi"/>
          <w:color w:val="000000" w:themeColor="text1"/>
        </w:rPr>
        <w:t xml:space="preserve">through </w:t>
      </w:r>
      <w:r w:rsidR="002D1AA6" w:rsidRPr="00390B8E">
        <w:rPr>
          <w:rFonts w:asciiTheme="minorHAnsi" w:hAnsiTheme="minorHAnsi" w:cstheme="minorHAnsi"/>
          <w:color w:val="000000" w:themeColor="text1"/>
        </w:rPr>
        <w:t xml:space="preserve">other </w:t>
      </w:r>
      <w:r w:rsidR="005806D0" w:rsidRPr="00390B8E">
        <w:rPr>
          <w:rFonts w:asciiTheme="minorHAnsi" w:hAnsiTheme="minorHAnsi" w:cstheme="minorHAnsi"/>
          <w:color w:val="000000" w:themeColor="text1"/>
        </w:rPr>
        <w:t>inconsistencies</w:t>
      </w:r>
      <w:r w:rsidR="002D1AA6" w:rsidRPr="00390B8E">
        <w:rPr>
          <w:rFonts w:asciiTheme="minorHAnsi" w:hAnsiTheme="minorHAnsi" w:cstheme="minorHAnsi"/>
          <w:color w:val="000000" w:themeColor="text1"/>
        </w:rPr>
        <w:t>.</w:t>
      </w:r>
    </w:p>
    <w:p w14:paraId="19BDDCC6" w14:textId="3B86AC85" w:rsidR="002D1AA6" w:rsidRPr="00390B8E" w:rsidRDefault="007A1B25" w:rsidP="002D1AA6">
      <w:pPr>
        <w:pStyle w:val="BodytextRPC"/>
        <w:rPr>
          <w:rFonts w:asciiTheme="minorHAnsi" w:hAnsiTheme="minorHAnsi" w:cstheme="minorHAnsi"/>
          <w:color w:val="000000" w:themeColor="text1"/>
        </w:rPr>
      </w:pPr>
      <w:r w:rsidRPr="00390B8E">
        <w:rPr>
          <w:noProof/>
          <w:color w:val="000000" w:themeColor="text1"/>
        </w:rPr>
        <mc:AlternateContent>
          <mc:Choice Requires="wps">
            <w:drawing>
              <wp:anchor distT="0" distB="0" distL="114300" distR="114300" simplePos="0" relativeHeight="251678733" behindDoc="0" locked="0" layoutInCell="1" allowOverlap="1" wp14:anchorId="1A1AFD23" wp14:editId="400464FC">
                <wp:simplePos x="0" y="0"/>
                <wp:positionH relativeFrom="column">
                  <wp:posOffset>-63374</wp:posOffset>
                </wp:positionH>
                <wp:positionV relativeFrom="paragraph">
                  <wp:posOffset>558650</wp:posOffset>
                </wp:positionV>
                <wp:extent cx="5278120" cy="1828800"/>
                <wp:effectExtent l="0" t="0" r="17780" b="12065"/>
                <wp:wrapSquare wrapText="bothSides"/>
                <wp:docPr id="24" name="Text Box 24"/>
                <wp:cNvGraphicFramePr/>
                <a:graphic xmlns:a="http://schemas.openxmlformats.org/drawingml/2006/main">
                  <a:graphicData uri="http://schemas.microsoft.com/office/word/2010/wordprocessingShape">
                    <wps:wsp>
                      <wps:cNvSpPr txBox="1"/>
                      <wps:spPr>
                        <a:xfrm>
                          <a:off x="0" y="0"/>
                          <a:ext cx="5278120" cy="1828800"/>
                        </a:xfrm>
                        <a:prstGeom prst="rect">
                          <a:avLst/>
                        </a:prstGeom>
                        <a:noFill/>
                        <a:ln w="6350">
                          <a:solidFill>
                            <a:prstClr val="black"/>
                          </a:solidFill>
                        </a:ln>
                      </wps:spPr>
                      <wps:txbx>
                        <w:txbxContent>
                          <w:p w14:paraId="23CB6722" w14:textId="77777777" w:rsidR="000655E0" w:rsidRDefault="000655E0" w:rsidP="002D1AA6">
                            <w:pPr>
                              <w:pStyle w:val="BodytextRPC"/>
                              <w:shd w:val="clear" w:color="auto" w:fill="000000" w:themeFill="text1"/>
                            </w:pPr>
                            <w:r>
                              <w:t>Key points</w:t>
                            </w:r>
                          </w:p>
                          <w:p w14:paraId="4D40369A" w14:textId="5C648B81" w:rsidR="000655E0" w:rsidRPr="002D1AA6" w:rsidRDefault="000655E0" w:rsidP="002D1AA6">
                            <w:pPr>
                              <w:pStyle w:val="BodytextRPC"/>
                              <w:numPr>
                                <w:ilvl w:val="0"/>
                                <w:numId w:val="32"/>
                              </w:numPr>
                              <w:rPr>
                                <w:rFonts w:asciiTheme="minorHAnsi" w:hAnsiTheme="minorHAnsi" w:cstheme="minorHAnsi"/>
                              </w:rPr>
                            </w:pPr>
                            <w:r w:rsidRPr="002D1AA6">
                              <w:rPr>
                                <w:rFonts w:asciiTheme="minorHAnsi" w:hAnsiTheme="minorHAnsi" w:cstheme="minorHAnsi"/>
                              </w:rPr>
                              <w:t>We welcome the incentive scheme review currently being scoped by the AER, and submit that the issues raised in the attached analysis be considered for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A1AFD23" id="Text Box 24" o:spid="_x0000_s1035" type="#_x0000_t202" style="position:absolute;margin-left:-5pt;margin-top:44pt;width:415.6pt;height:2in;z-index:25167873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" filled="f" strokeweight=".5pt">
                <v:textbox style="mso-fit-shape-to-text:t">
                  <w:txbxContent>
                    <w:p w14:paraId="23CB6722" w14:textId="77777777" w:rsidR="000655E0" w:rsidRDefault="000655E0" w:rsidP="002D1AA6">
                      <w:pPr>
                        <w:pStyle w:val="BodytextRPC"/>
                        <w:shd w:val="clear" w:color="auto" w:fill="000000" w:themeFill="text1"/>
                      </w:pPr>
                      <w:r>
                        <w:t>Key points</w:t>
                      </w:r>
                    </w:p>
                    <w:p w14:paraId="4D40369A" w14:textId="5C648B81" w:rsidR="000655E0" w:rsidRPr="002D1AA6" w:rsidRDefault="000655E0" w:rsidP="002D1AA6">
                      <w:pPr>
                        <w:pStyle w:val="BodytextRPC"/>
                        <w:numPr>
                          <w:ilvl w:val="0"/>
                          <w:numId w:val="32"/>
                        </w:numPr>
                        <w:rPr>
                          <w:rFonts w:asciiTheme="minorHAnsi" w:hAnsiTheme="minorHAnsi" w:cstheme="minorHAnsi"/>
                        </w:rPr>
                      </w:pPr>
                      <w:r w:rsidRPr="002D1AA6">
                        <w:rPr>
                          <w:rFonts w:asciiTheme="minorHAnsi" w:hAnsiTheme="minorHAnsi" w:cstheme="minorHAnsi"/>
                        </w:rPr>
                        <w:t>We welcome the incentive scheme review currently being scoped by the AER, and submit that the issues raised in the attached analysis be considered for review.</w:t>
                      </w:r>
                    </w:p>
                  </w:txbxContent>
                </v:textbox>
                <w10:wrap type="square"/>
              </v:shape>
            </w:pict>
          </mc:Fallback>
        </mc:AlternateContent>
      </w:r>
      <w:r w:rsidR="00653657" w:rsidRPr="00390B8E">
        <w:rPr>
          <w:rFonts w:asciiTheme="minorHAnsi" w:hAnsiTheme="minorHAnsi" w:cstheme="minorHAnsi"/>
          <w:color w:val="000000" w:themeColor="text1"/>
        </w:rPr>
        <w:t>We welcome the incentive scheme review currently being scoped by the AER, and submit that the issues raised in the attached analysis be considered for review.</w:t>
      </w:r>
    </w:p>
    <w:p w14:paraId="59B889AB" w14:textId="4B5976BB" w:rsidR="00D81AC7" w:rsidRPr="00390B8E" w:rsidRDefault="00653657" w:rsidP="000C5C1C">
      <w:pPr>
        <w:pStyle w:val="Heading1"/>
        <w:numPr>
          <w:ilvl w:val="0"/>
          <w:numId w:val="11"/>
        </w:numPr>
        <w:rPr>
          <w:rFonts w:asciiTheme="minorHAnsi" w:hAnsiTheme="minorHAnsi" w:cstheme="minorHAnsi"/>
        </w:rPr>
      </w:pPr>
      <w:bookmarkStart w:id="50" w:name="_Toc61341299"/>
      <w:r w:rsidRPr="00390B8E">
        <w:rPr>
          <w:rFonts w:asciiTheme="minorHAnsi" w:hAnsiTheme="minorHAnsi" w:cstheme="minorHAnsi"/>
        </w:rPr>
        <w:t>D</w:t>
      </w:r>
      <w:r w:rsidR="00BB7909" w:rsidRPr="00390B8E">
        <w:rPr>
          <w:rFonts w:asciiTheme="minorHAnsi" w:hAnsiTheme="minorHAnsi" w:cstheme="minorHAnsi"/>
        </w:rPr>
        <w:t>epreciation</w:t>
      </w:r>
      <w:bookmarkEnd w:id="50"/>
    </w:p>
    <w:p w14:paraId="714F3BC2" w14:textId="54102D0E" w:rsidR="0019579D" w:rsidRPr="00390B8E" w:rsidRDefault="0019579D" w:rsidP="0019579D">
      <w:pPr>
        <w:pStyle w:val="Heading2"/>
      </w:pPr>
      <w:bookmarkStart w:id="51" w:name="_Toc61341300"/>
      <w:r w:rsidRPr="00390B8E">
        <w:t>Consistency of asset life</w:t>
      </w:r>
      <w:bookmarkEnd w:id="51"/>
    </w:p>
    <w:p w14:paraId="04A224C8" w14:textId="34775958" w:rsidR="00A05D89" w:rsidRPr="00390B8E" w:rsidRDefault="00A05D89" w:rsidP="000C5C1C">
      <w:pPr>
        <w:pStyle w:val="BodytextRPC"/>
        <w:rPr>
          <w:rFonts w:asciiTheme="minorHAnsi" w:hAnsiTheme="minorHAnsi" w:cstheme="minorHAnsi"/>
          <w:color w:val="000000" w:themeColor="text1"/>
        </w:rPr>
      </w:pPr>
      <w:r w:rsidRPr="00390B8E">
        <w:rPr>
          <w:rFonts w:asciiTheme="minorHAnsi" w:hAnsiTheme="minorHAnsi" w:cstheme="minorHAnsi"/>
          <w:color w:val="000000" w:themeColor="text1"/>
        </w:rPr>
        <w:t>VCO’s submission to the initial proposals noted the disparity in asset lives between the distributors’ schedules, and noted that consumers would benefit where common rates were established.</w:t>
      </w:r>
    </w:p>
    <w:p w14:paraId="2EA1D27C" w14:textId="3F4B1AED" w:rsidR="0019579D" w:rsidRPr="00390B8E" w:rsidRDefault="002A5103" w:rsidP="000C5C1C">
      <w:pPr>
        <w:pStyle w:val="BodytextRPC"/>
        <w:rPr>
          <w:rFonts w:asciiTheme="minorHAnsi" w:hAnsiTheme="minorHAnsi" w:cstheme="minorHAnsi"/>
          <w:color w:val="000000" w:themeColor="text1"/>
        </w:rPr>
      </w:pPr>
      <w:r w:rsidRPr="00390B8E">
        <w:rPr>
          <w:rFonts w:asciiTheme="minorHAnsi" w:hAnsiTheme="minorHAnsi" w:cstheme="minorHAnsi"/>
          <w:color w:val="000000" w:themeColor="text1"/>
        </w:rPr>
        <w:t xml:space="preserve">The AER addressed this concern in their Draft Determinations, and suggested that much of this </w:t>
      </w:r>
      <w:r w:rsidR="007A1B25" w:rsidRPr="00390B8E">
        <w:rPr>
          <w:rFonts w:asciiTheme="minorHAnsi" w:hAnsiTheme="minorHAnsi" w:cstheme="minorHAnsi"/>
          <w:color w:val="000000" w:themeColor="text1"/>
        </w:rPr>
        <w:t xml:space="preserve">apparent </w:t>
      </w:r>
      <w:r w:rsidRPr="00390B8E">
        <w:rPr>
          <w:rFonts w:asciiTheme="minorHAnsi" w:hAnsiTheme="minorHAnsi" w:cstheme="minorHAnsi"/>
          <w:color w:val="000000" w:themeColor="text1"/>
        </w:rPr>
        <w:t xml:space="preserve">difference is due to aggregation of asset classes. </w:t>
      </w:r>
      <w:proofErr w:type="spellStart"/>
      <w:r w:rsidR="00A05D89" w:rsidRPr="00390B8E">
        <w:rPr>
          <w:rFonts w:asciiTheme="minorHAnsi" w:hAnsiTheme="minorHAnsi" w:cstheme="minorHAnsi"/>
          <w:color w:val="000000" w:themeColor="text1"/>
        </w:rPr>
        <w:t>Headberry</w:t>
      </w:r>
      <w:proofErr w:type="spellEnd"/>
      <w:r w:rsidR="00A05D89" w:rsidRPr="00390B8E">
        <w:rPr>
          <w:rFonts w:asciiTheme="minorHAnsi" w:hAnsiTheme="minorHAnsi" w:cstheme="minorHAnsi"/>
          <w:color w:val="000000" w:themeColor="text1"/>
        </w:rPr>
        <w:t xml:space="preserve"> Partners </w:t>
      </w:r>
      <w:r w:rsidRPr="00390B8E">
        <w:rPr>
          <w:rFonts w:asciiTheme="minorHAnsi" w:hAnsiTheme="minorHAnsi" w:cstheme="minorHAnsi"/>
          <w:color w:val="000000" w:themeColor="text1"/>
        </w:rPr>
        <w:t xml:space="preserve">has raised specific examples </w:t>
      </w:r>
      <w:r w:rsidR="007A1B25" w:rsidRPr="00390B8E">
        <w:rPr>
          <w:rFonts w:asciiTheme="minorHAnsi" w:hAnsiTheme="minorHAnsi" w:cstheme="minorHAnsi"/>
          <w:color w:val="000000" w:themeColor="text1"/>
        </w:rPr>
        <w:t>where they believe differences to persist</w:t>
      </w:r>
      <w:r w:rsidRPr="00390B8E">
        <w:rPr>
          <w:rFonts w:asciiTheme="minorHAnsi" w:hAnsiTheme="minorHAnsi" w:cstheme="minorHAnsi"/>
          <w:color w:val="000000" w:themeColor="text1"/>
        </w:rPr>
        <w:t xml:space="preserve">. </w:t>
      </w:r>
    </w:p>
    <w:p w14:paraId="15A1E49D" w14:textId="3FD74AFA" w:rsidR="002A5103" w:rsidRPr="00390B8E" w:rsidRDefault="002A5103" w:rsidP="000C5C1C">
      <w:pPr>
        <w:pStyle w:val="BodytextRPC"/>
        <w:rPr>
          <w:rFonts w:asciiTheme="minorHAnsi" w:hAnsiTheme="minorHAnsi" w:cstheme="minorHAnsi"/>
          <w:color w:val="000000" w:themeColor="text1"/>
        </w:rPr>
      </w:pPr>
      <w:r w:rsidRPr="00390B8E">
        <w:rPr>
          <w:rFonts w:asciiTheme="minorHAnsi" w:hAnsiTheme="minorHAnsi" w:cstheme="minorHAnsi"/>
          <w:color w:val="000000" w:themeColor="text1"/>
        </w:rPr>
        <w:t xml:space="preserve">Where asset lives do differ between networks and between the depreciation and </w:t>
      </w:r>
      <w:proofErr w:type="spellStart"/>
      <w:r w:rsidRPr="00390B8E">
        <w:rPr>
          <w:rFonts w:asciiTheme="minorHAnsi" w:hAnsiTheme="minorHAnsi" w:cstheme="minorHAnsi"/>
          <w:color w:val="000000" w:themeColor="text1"/>
        </w:rPr>
        <w:t>repex</w:t>
      </w:r>
      <w:proofErr w:type="spellEnd"/>
      <w:r w:rsidRPr="00390B8E">
        <w:rPr>
          <w:rFonts w:asciiTheme="minorHAnsi" w:hAnsiTheme="minorHAnsi" w:cstheme="minorHAnsi"/>
          <w:color w:val="000000" w:themeColor="text1"/>
        </w:rPr>
        <w:t xml:space="preserve"> schedules, we believe that customers will benefit from a review to optimise and standardise these schedules. </w:t>
      </w:r>
    </w:p>
    <w:p w14:paraId="19A33734" w14:textId="4189A4A5" w:rsidR="00B126BC" w:rsidRPr="00390B8E" w:rsidRDefault="00E82C00" w:rsidP="00B126BC">
      <w:pPr>
        <w:pStyle w:val="Heading2"/>
      </w:pPr>
      <w:bookmarkStart w:id="52" w:name="_Toc61341301"/>
      <w:r w:rsidRPr="00390B8E">
        <w:t>Accelerated</w:t>
      </w:r>
      <w:r w:rsidR="00A819D9" w:rsidRPr="00390B8E">
        <w:t xml:space="preserve"> depreciation</w:t>
      </w:r>
      <w:r w:rsidRPr="00390B8E">
        <w:t xml:space="preserve"> – </w:t>
      </w:r>
      <w:r w:rsidR="00B46557" w:rsidRPr="00390B8E">
        <w:t>AusNet</w:t>
      </w:r>
      <w:r w:rsidRPr="00390B8E">
        <w:t xml:space="preserve"> Services</w:t>
      </w:r>
      <w:bookmarkEnd w:id="52"/>
    </w:p>
    <w:p w14:paraId="3CA48BCA" w14:textId="1654AC02" w:rsidR="00243F28" w:rsidRPr="00390B8E" w:rsidRDefault="00956AC8" w:rsidP="00E82C00">
      <w:pPr>
        <w:pStyle w:val="BodytextRPC"/>
        <w:rPr>
          <w:rFonts w:asciiTheme="minorHAnsi" w:hAnsiTheme="minorHAnsi" w:cstheme="minorHAnsi"/>
          <w:color w:val="000000" w:themeColor="text1"/>
        </w:rPr>
      </w:pPr>
      <w:proofErr w:type="spellStart"/>
      <w:r w:rsidRPr="00390B8E">
        <w:rPr>
          <w:rFonts w:asciiTheme="minorHAnsi" w:hAnsiTheme="minorHAnsi" w:cstheme="minorHAnsi"/>
          <w:color w:val="000000" w:themeColor="text1"/>
        </w:rPr>
        <w:t>Headberry</w:t>
      </w:r>
      <w:proofErr w:type="spellEnd"/>
      <w:r w:rsidRPr="00390B8E">
        <w:rPr>
          <w:rFonts w:asciiTheme="minorHAnsi" w:hAnsiTheme="minorHAnsi" w:cstheme="minorHAnsi"/>
          <w:color w:val="000000" w:themeColor="text1"/>
        </w:rPr>
        <w:t xml:space="preserve"> Partners’ analysis has </w:t>
      </w:r>
      <w:r w:rsidR="00A819D9" w:rsidRPr="00390B8E">
        <w:rPr>
          <w:rFonts w:asciiTheme="minorHAnsi" w:hAnsiTheme="minorHAnsi" w:cstheme="minorHAnsi"/>
          <w:color w:val="000000" w:themeColor="text1"/>
        </w:rPr>
        <w:t xml:space="preserve">highlighted some specific concerns associated with the accelerated depreciation claims included in </w:t>
      </w:r>
      <w:r w:rsidR="00B46557" w:rsidRPr="00390B8E">
        <w:rPr>
          <w:rFonts w:asciiTheme="minorHAnsi" w:hAnsiTheme="minorHAnsi" w:cstheme="minorHAnsi"/>
          <w:color w:val="000000" w:themeColor="text1"/>
        </w:rPr>
        <w:t>AusNet</w:t>
      </w:r>
      <w:r w:rsidR="002A5103" w:rsidRPr="00390B8E">
        <w:rPr>
          <w:rFonts w:asciiTheme="minorHAnsi" w:hAnsiTheme="minorHAnsi" w:cstheme="minorHAnsi"/>
          <w:color w:val="000000" w:themeColor="text1"/>
        </w:rPr>
        <w:t xml:space="preserve"> Services</w:t>
      </w:r>
      <w:r w:rsidR="005806D0" w:rsidRPr="00390B8E">
        <w:rPr>
          <w:rFonts w:asciiTheme="minorHAnsi" w:hAnsiTheme="minorHAnsi" w:cstheme="minorHAnsi"/>
          <w:color w:val="000000" w:themeColor="text1"/>
        </w:rPr>
        <w:t>’</w:t>
      </w:r>
      <w:r w:rsidR="002A5103" w:rsidRPr="00390B8E">
        <w:rPr>
          <w:rFonts w:asciiTheme="minorHAnsi" w:hAnsiTheme="minorHAnsi" w:cstheme="minorHAnsi"/>
          <w:color w:val="000000" w:themeColor="text1"/>
        </w:rPr>
        <w:t xml:space="preserve"> proposals</w:t>
      </w:r>
      <w:r w:rsidR="00F85EFD" w:rsidRPr="00390B8E">
        <w:rPr>
          <w:rFonts w:asciiTheme="minorHAnsi" w:hAnsiTheme="minorHAnsi" w:cstheme="minorHAnsi"/>
          <w:color w:val="000000" w:themeColor="text1"/>
        </w:rPr>
        <w:t xml:space="preserve">, </w:t>
      </w:r>
      <w:r w:rsidR="00E82C00" w:rsidRPr="00390B8E">
        <w:rPr>
          <w:rFonts w:asciiTheme="minorHAnsi" w:hAnsiTheme="minorHAnsi" w:cstheme="minorHAnsi"/>
          <w:color w:val="000000" w:themeColor="text1"/>
        </w:rPr>
        <w:t xml:space="preserve">and raises concerns about the implication of this decision for the depreciation schedule for the other assets included in this class (See </w:t>
      </w:r>
      <w:r w:rsidR="001A0BAC" w:rsidRPr="00390B8E">
        <w:rPr>
          <w:rFonts w:asciiTheme="minorHAnsi" w:hAnsiTheme="minorHAnsi" w:cstheme="minorHAnsi"/>
          <w:color w:val="000000" w:themeColor="text1"/>
        </w:rPr>
        <w:t>S</w:t>
      </w:r>
      <w:r w:rsidR="00E82C00" w:rsidRPr="00390B8E">
        <w:rPr>
          <w:rFonts w:asciiTheme="minorHAnsi" w:hAnsiTheme="minorHAnsi" w:cstheme="minorHAnsi"/>
          <w:color w:val="000000" w:themeColor="text1"/>
        </w:rPr>
        <w:t xml:space="preserve">ection </w:t>
      </w:r>
      <w:bookmarkStart w:id="53" w:name="_Toc38283939"/>
      <w:bookmarkEnd w:id="39"/>
      <w:r w:rsidR="001A0BAC" w:rsidRPr="00390B8E">
        <w:rPr>
          <w:rFonts w:asciiTheme="minorHAnsi" w:hAnsiTheme="minorHAnsi" w:cstheme="minorHAnsi"/>
          <w:color w:val="000000" w:themeColor="text1"/>
        </w:rPr>
        <w:t>5.1).</w:t>
      </w:r>
    </w:p>
    <w:p w14:paraId="098A0C83" w14:textId="0F3E10DD" w:rsidR="002D1AA6" w:rsidRPr="00390B8E" w:rsidRDefault="002D1AA6" w:rsidP="00E82C00">
      <w:pPr>
        <w:pStyle w:val="BodytextRPC"/>
        <w:rPr>
          <w:rFonts w:asciiTheme="minorHAnsi" w:hAnsiTheme="minorHAnsi" w:cstheme="minorHAnsi"/>
          <w:color w:val="000000" w:themeColor="text1"/>
        </w:rPr>
      </w:pPr>
      <w:r w:rsidRPr="00390B8E">
        <w:rPr>
          <w:noProof/>
          <w:color w:val="000000" w:themeColor="text1"/>
        </w:rPr>
        <w:lastRenderedPageBreak/>
        <mc:AlternateContent>
          <mc:Choice Requires="wps">
            <w:drawing>
              <wp:anchor distT="0" distB="0" distL="114300" distR="114300" simplePos="0" relativeHeight="251680781" behindDoc="0" locked="0" layoutInCell="1" allowOverlap="1" wp14:anchorId="5B19A7C1" wp14:editId="02457D2B">
                <wp:simplePos x="0" y="0"/>
                <wp:positionH relativeFrom="column">
                  <wp:posOffset>0</wp:posOffset>
                </wp:positionH>
                <wp:positionV relativeFrom="paragraph">
                  <wp:posOffset>318135</wp:posOffset>
                </wp:positionV>
                <wp:extent cx="5278120" cy="1828800"/>
                <wp:effectExtent l="0" t="0" r="17780" b="12065"/>
                <wp:wrapSquare wrapText="bothSides"/>
                <wp:docPr id="25" name="Text Box 25"/>
                <wp:cNvGraphicFramePr/>
                <a:graphic xmlns:a="http://schemas.openxmlformats.org/drawingml/2006/main">
                  <a:graphicData uri="http://schemas.microsoft.com/office/word/2010/wordprocessingShape">
                    <wps:wsp>
                      <wps:cNvSpPr txBox="1"/>
                      <wps:spPr>
                        <a:xfrm>
                          <a:off x="0" y="0"/>
                          <a:ext cx="5278120" cy="1828800"/>
                        </a:xfrm>
                        <a:prstGeom prst="rect">
                          <a:avLst/>
                        </a:prstGeom>
                        <a:noFill/>
                        <a:ln w="6350">
                          <a:solidFill>
                            <a:prstClr val="black"/>
                          </a:solidFill>
                        </a:ln>
                      </wps:spPr>
                      <wps:txbx>
                        <w:txbxContent>
                          <w:p w14:paraId="4ADF99FB" w14:textId="77777777" w:rsidR="000655E0" w:rsidRDefault="000655E0" w:rsidP="002D1AA6">
                            <w:pPr>
                              <w:pStyle w:val="BodytextRPC"/>
                              <w:shd w:val="clear" w:color="auto" w:fill="000000" w:themeFill="text1"/>
                            </w:pPr>
                            <w:r>
                              <w:t>Key points</w:t>
                            </w:r>
                          </w:p>
                          <w:p w14:paraId="7F23002E" w14:textId="4F4DB1E3" w:rsidR="000655E0" w:rsidRDefault="000655E0" w:rsidP="00F85EFD">
                            <w:pPr>
                              <w:pStyle w:val="BodytextRPC"/>
                              <w:numPr>
                                <w:ilvl w:val="0"/>
                                <w:numId w:val="37"/>
                              </w:numPr>
                              <w:rPr>
                                <w:rFonts w:asciiTheme="minorHAnsi" w:hAnsiTheme="minorHAnsi" w:cstheme="minorHAnsi"/>
                              </w:rPr>
                            </w:pPr>
                            <w:r>
                              <w:rPr>
                                <w:rFonts w:asciiTheme="minorHAnsi" w:hAnsiTheme="minorHAnsi" w:cstheme="minorHAnsi"/>
                              </w:rPr>
                              <w:t xml:space="preserve">Where there are differences in the schedule for a given asset class, between distributors or between </w:t>
                            </w:r>
                            <w:proofErr w:type="spellStart"/>
                            <w:r>
                              <w:rPr>
                                <w:rFonts w:asciiTheme="minorHAnsi" w:hAnsiTheme="minorHAnsi" w:cstheme="minorHAnsi"/>
                              </w:rPr>
                              <w:t>repex</w:t>
                            </w:r>
                            <w:proofErr w:type="spellEnd"/>
                            <w:r>
                              <w:rPr>
                                <w:rFonts w:asciiTheme="minorHAnsi" w:hAnsiTheme="minorHAnsi" w:cstheme="minorHAnsi"/>
                              </w:rPr>
                              <w:t xml:space="preserve"> and depreciation schedules, customers will benefit from establishing a consistent approach.</w:t>
                            </w:r>
                          </w:p>
                          <w:p w14:paraId="72AE3C76" w14:textId="199E4400" w:rsidR="000655E0" w:rsidRPr="002D1AA6" w:rsidRDefault="000655E0" w:rsidP="00F85EFD">
                            <w:pPr>
                              <w:pStyle w:val="BodytextRPC"/>
                              <w:numPr>
                                <w:ilvl w:val="0"/>
                                <w:numId w:val="37"/>
                              </w:numPr>
                              <w:rPr>
                                <w:rFonts w:asciiTheme="minorHAnsi" w:hAnsiTheme="minorHAnsi" w:cstheme="minorHAnsi"/>
                              </w:rPr>
                            </w:pPr>
                            <w:r>
                              <w:rPr>
                                <w:rFonts w:asciiTheme="minorHAnsi" w:hAnsiTheme="minorHAnsi" w:cstheme="minorHAnsi"/>
                              </w:rPr>
                              <w:t xml:space="preserve">The acceptance of AusNet Services’ proposed accelerated depreciation of assets within a class raises questions regarding the implications for the altered accuracy of the schedule applied to other assets.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B19A7C1" id="Text Box 25" o:spid="_x0000_s1036" type="#_x0000_t202" style="position:absolute;margin-left:0;margin-top:25.05pt;width:415.6pt;height:2in;z-index:25168078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" filled="f" strokeweight=".5pt">
                <v:textbox style="mso-fit-shape-to-text:t">
                  <w:txbxContent>
                    <w:p w14:paraId="4ADF99FB" w14:textId="77777777" w:rsidR="000655E0" w:rsidRDefault="000655E0" w:rsidP="002D1AA6">
                      <w:pPr>
                        <w:pStyle w:val="BodytextRPC"/>
                        <w:shd w:val="clear" w:color="auto" w:fill="000000" w:themeFill="text1"/>
                      </w:pPr>
                      <w:r>
                        <w:t>Key points</w:t>
                      </w:r>
                    </w:p>
                    <w:p w14:paraId="7F23002E" w14:textId="4F4DB1E3" w:rsidR="000655E0" w:rsidRDefault="000655E0" w:rsidP="00F85EFD">
                      <w:pPr>
                        <w:pStyle w:val="BodytextRPC"/>
                        <w:numPr>
                          <w:ilvl w:val="0"/>
                          <w:numId w:val="37"/>
                        </w:numPr>
                        <w:rPr>
                          <w:rFonts w:asciiTheme="minorHAnsi" w:hAnsiTheme="minorHAnsi" w:cstheme="minorHAnsi"/>
                        </w:rPr>
                      </w:pPr>
                      <w:r>
                        <w:rPr>
                          <w:rFonts w:asciiTheme="minorHAnsi" w:hAnsiTheme="minorHAnsi" w:cstheme="minorHAnsi"/>
                        </w:rPr>
                        <w:t xml:space="preserve">Where there are differences in the schedule for a given asset class, between distributors or between </w:t>
                      </w:r>
                      <w:proofErr w:type="spellStart"/>
                      <w:r>
                        <w:rPr>
                          <w:rFonts w:asciiTheme="minorHAnsi" w:hAnsiTheme="minorHAnsi" w:cstheme="minorHAnsi"/>
                        </w:rPr>
                        <w:t>repex</w:t>
                      </w:r>
                      <w:proofErr w:type="spellEnd"/>
                      <w:r>
                        <w:rPr>
                          <w:rFonts w:asciiTheme="minorHAnsi" w:hAnsiTheme="minorHAnsi" w:cstheme="minorHAnsi"/>
                        </w:rPr>
                        <w:t xml:space="preserve"> and depreciation schedules, customers will benefit from establishing a consistent approach.</w:t>
                      </w:r>
                    </w:p>
                    <w:p w14:paraId="72AE3C76" w14:textId="199E4400" w:rsidR="000655E0" w:rsidRPr="002D1AA6" w:rsidRDefault="000655E0" w:rsidP="00F85EFD">
                      <w:pPr>
                        <w:pStyle w:val="BodytextRPC"/>
                        <w:numPr>
                          <w:ilvl w:val="0"/>
                          <w:numId w:val="37"/>
                        </w:numPr>
                        <w:rPr>
                          <w:rFonts w:asciiTheme="minorHAnsi" w:hAnsiTheme="minorHAnsi" w:cstheme="minorHAnsi"/>
                        </w:rPr>
                      </w:pPr>
                      <w:r>
                        <w:rPr>
                          <w:rFonts w:asciiTheme="minorHAnsi" w:hAnsiTheme="minorHAnsi" w:cstheme="minorHAnsi"/>
                        </w:rPr>
                        <w:t xml:space="preserve">The acceptance of AusNet Services’ proposed accelerated depreciation of assets within a class raises questions regarding the implications for the altered accuracy of the schedule applied to other assets.  </w:t>
                      </w:r>
                    </w:p>
                  </w:txbxContent>
                </v:textbox>
                <w10:wrap type="square"/>
              </v:shape>
            </w:pict>
          </mc:Fallback>
        </mc:AlternateContent>
      </w:r>
    </w:p>
    <w:p w14:paraId="1FD49C4F" w14:textId="77777777" w:rsidR="002D1AA6" w:rsidRPr="00390B8E" w:rsidRDefault="002D1AA6" w:rsidP="00E82C00">
      <w:pPr>
        <w:pStyle w:val="BodytextRPC"/>
        <w:rPr>
          <w:rFonts w:asciiTheme="minorHAnsi" w:hAnsiTheme="minorHAnsi" w:cstheme="minorHAnsi"/>
          <w:color w:val="000000" w:themeColor="text1"/>
        </w:rPr>
      </w:pPr>
    </w:p>
    <w:p w14:paraId="04696C96" w14:textId="44D3B15F" w:rsidR="006A6E66" w:rsidRPr="00390B8E" w:rsidRDefault="00243F28" w:rsidP="00F8634D">
      <w:pPr>
        <w:pStyle w:val="Heading1"/>
        <w:numPr>
          <w:ilvl w:val="0"/>
          <w:numId w:val="11"/>
        </w:numPr>
        <w:rPr>
          <w:rFonts w:asciiTheme="minorHAnsi" w:hAnsiTheme="minorHAnsi" w:cstheme="minorHAnsi"/>
        </w:rPr>
      </w:pPr>
      <w:bookmarkStart w:id="54" w:name="_Toc61341302"/>
      <w:r w:rsidRPr="00390B8E">
        <w:rPr>
          <w:rFonts w:asciiTheme="minorHAnsi" w:hAnsiTheme="minorHAnsi" w:cstheme="minorHAnsi"/>
        </w:rPr>
        <w:t>Pass through events</w:t>
      </w:r>
      <w:bookmarkEnd w:id="54"/>
    </w:p>
    <w:p w14:paraId="2A318214" w14:textId="4D282E77" w:rsidR="004D1833" w:rsidRPr="00390B8E" w:rsidRDefault="004D1833" w:rsidP="004D1833">
      <w:pPr>
        <w:pStyle w:val="Heading2"/>
      </w:pPr>
      <w:bookmarkStart w:id="55" w:name="_Toc61341303"/>
      <w:r w:rsidRPr="00390B8E">
        <w:t>Environment Protection Authority Pass Through Events</w:t>
      </w:r>
      <w:bookmarkEnd w:id="55"/>
    </w:p>
    <w:p w14:paraId="0D9C5DE7" w14:textId="27D060C9" w:rsidR="008D1AC5" w:rsidRPr="00390B8E" w:rsidRDefault="004D1833" w:rsidP="004D1833">
      <w:pPr>
        <w:pStyle w:val="BodytextRPC"/>
        <w:rPr>
          <w:color w:val="000000" w:themeColor="text1"/>
        </w:rPr>
      </w:pPr>
      <w:r w:rsidRPr="00390B8E">
        <w:rPr>
          <w:color w:val="000000" w:themeColor="text1"/>
        </w:rPr>
        <w:t xml:space="preserve">A number of </w:t>
      </w:r>
      <w:r w:rsidR="008D1AC5" w:rsidRPr="00390B8E">
        <w:rPr>
          <w:color w:val="000000" w:themeColor="text1"/>
        </w:rPr>
        <w:t xml:space="preserve">distributors have flagged that the enactment of the new </w:t>
      </w:r>
      <w:r w:rsidR="002F5B42" w:rsidRPr="00390B8E">
        <w:rPr>
          <w:color w:val="000000" w:themeColor="text1"/>
        </w:rPr>
        <w:t xml:space="preserve">Environmental Protection Amendment Act 2018 </w:t>
      </w:r>
      <w:r w:rsidR="008D1AC5" w:rsidRPr="00390B8E">
        <w:rPr>
          <w:color w:val="000000" w:themeColor="text1"/>
        </w:rPr>
        <w:t>may trigger the need for cost pass-throughs.</w:t>
      </w:r>
    </w:p>
    <w:p w14:paraId="0433534D" w14:textId="0031113D" w:rsidR="008D1AC5" w:rsidRPr="00390B8E" w:rsidRDefault="008D1AC5" w:rsidP="004D1833">
      <w:pPr>
        <w:pStyle w:val="BodytextRPC"/>
        <w:rPr>
          <w:color w:val="000000" w:themeColor="text1"/>
        </w:rPr>
      </w:pPr>
      <w:r w:rsidRPr="00390B8E">
        <w:rPr>
          <w:color w:val="000000" w:themeColor="text1"/>
        </w:rPr>
        <w:t xml:space="preserve">The CPPALUE networks’ inclusion of a large amount of </w:t>
      </w:r>
      <w:proofErr w:type="spellStart"/>
      <w:r w:rsidRPr="00390B8E">
        <w:rPr>
          <w:color w:val="000000" w:themeColor="text1"/>
        </w:rPr>
        <w:t>repex</w:t>
      </w:r>
      <w:proofErr w:type="spellEnd"/>
      <w:r w:rsidRPr="00390B8E">
        <w:rPr>
          <w:color w:val="000000" w:themeColor="text1"/>
        </w:rPr>
        <w:t xml:space="preserve"> and other spending increases in their initial proposal (withdrawn</w:t>
      </w:r>
      <w:r w:rsidR="00801E80" w:rsidRPr="00390B8E">
        <w:rPr>
          <w:color w:val="000000" w:themeColor="text1"/>
        </w:rPr>
        <w:t xml:space="preserve"> before the draft determination</w:t>
      </w:r>
      <w:r w:rsidRPr="00390B8E">
        <w:rPr>
          <w:color w:val="000000" w:themeColor="text1"/>
        </w:rPr>
        <w:t xml:space="preserve">) gives an indication of </w:t>
      </w:r>
      <w:r w:rsidR="00C22687" w:rsidRPr="00390B8E">
        <w:rPr>
          <w:color w:val="000000" w:themeColor="text1"/>
        </w:rPr>
        <w:t>the volume of additional revenue that might be sought in relation to these amendments.</w:t>
      </w:r>
    </w:p>
    <w:p w14:paraId="3BACEF3D" w14:textId="1A9EE22F" w:rsidR="006600C8" w:rsidRPr="00390B8E" w:rsidRDefault="00330922" w:rsidP="004D1833">
      <w:pPr>
        <w:pStyle w:val="BodytextRPC"/>
        <w:rPr>
          <w:color w:val="000000" w:themeColor="text1"/>
        </w:rPr>
      </w:pPr>
      <w:r w:rsidRPr="00390B8E">
        <w:rPr>
          <w:color w:val="000000" w:themeColor="text1"/>
        </w:rPr>
        <w:t xml:space="preserve">Many stakeholders questioned </w:t>
      </w:r>
      <w:r w:rsidR="00481763" w:rsidRPr="00390B8E">
        <w:rPr>
          <w:color w:val="000000" w:themeColor="text1"/>
        </w:rPr>
        <w:t>whether there were any</w:t>
      </w:r>
      <w:r w:rsidRPr="00390B8E">
        <w:rPr>
          <w:color w:val="000000" w:themeColor="text1"/>
        </w:rPr>
        <w:t xml:space="preserve"> real-world drivers for </w:t>
      </w:r>
      <w:r w:rsidR="00481763" w:rsidRPr="00390B8E">
        <w:rPr>
          <w:color w:val="000000" w:themeColor="text1"/>
        </w:rPr>
        <w:t>the proposed compliance measures</w:t>
      </w:r>
      <w:r w:rsidRPr="00390B8E">
        <w:rPr>
          <w:color w:val="000000" w:themeColor="text1"/>
        </w:rPr>
        <w:t xml:space="preserve">, such as a large amount of noise-related </w:t>
      </w:r>
      <w:proofErr w:type="spellStart"/>
      <w:r w:rsidRPr="00390B8E">
        <w:rPr>
          <w:color w:val="000000" w:themeColor="text1"/>
        </w:rPr>
        <w:t>repex</w:t>
      </w:r>
      <w:proofErr w:type="spellEnd"/>
      <w:r w:rsidRPr="00390B8E">
        <w:rPr>
          <w:color w:val="000000" w:themeColor="text1"/>
        </w:rPr>
        <w:t xml:space="preserve">. Consultation with distributors </w:t>
      </w:r>
      <w:r w:rsidR="00481763" w:rsidRPr="00390B8E">
        <w:rPr>
          <w:color w:val="000000" w:themeColor="text1"/>
        </w:rPr>
        <w:t xml:space="preserve">confirmed that </w:t>
      </w:r>
      <w:r w:rsidR="00643674" w:rsidRPr="00390B8E">
        <w:rPr>
          <w:color w:val="000000" w:themeColor="text1"/>
        </w:rPr>
        <w:t xml:space="preserve">noise-related complaint volumes were very low. </w:t>
      </w:r>
      <w:r w:rsidR="00801E80" w:rsidRPr="00390B8E">
        <w:rPr>
          <w:color w:val="000000" w:themeColor="text1"/>
        </w:rPr>
        <w:t>The</w:t>
      </w:r>
      <w:r w:rsidR="00643674" w:rsidRPr="00390B8E">
        <w:rPr>
          <w:color w:val="000000" w:themeColor="text1"/>
        </w:rPr>
        <w:t xml:space="preserve"> EPA confirmed</w:t>
      </w:r>
      <w:r w:rsidR="00801E80" w:rsidRPr="00390B8E">
        <w:rPr>
          <w:color w:val="000000" w:themeColor="text1"/>
        </w:rPr>
        <w:t>, during consultation in early 2019,</w:t>
      </w:r>
      <w:r w:rsidR="00643674" w:rsidRPr="00390B8E">
        <w:rPr>
          <w:color w:val="000000" w:themeColor="text1"/>
        </w:rPr>
        <w:t xml:space="preserve"> that distribution infrastructure had not been considered through the drafting stages</w:t>
      </w:r>
      <w:r w:rsidR="00801E80" w:rsidRPr="00390B8E">
        <w:rPr>
          <w:color w:val="000000" w:themeColor="text1"/>
        </w:rPr>
        <w:t>. M</w:t>
      </w:r>
      <w:r w:rsidR="00643674" w:rsidRPr="00390B8E">
        <w:rPr>
          <w:color w:val="000000" w:themeColor="text1"/>
        </w:rPr>
        <w:t xml:space="preserve">any similar infrastructure installations were listed in the Regulations as exclusions. </w:t>
      </w:r>
    </w:p>
    <w:p w14:paraId="0E6BB981" w14:textId="49577E26" w:rsidR="006600C8" w:rsidRPr="00390B8E" w:rsidRDefault="00643674" w:rsidP="004D1833">
      <w:pPr>
        <w:pStyle w:val="BodytextRPC"/>
        <w:rPr>
          <w:color w:val="000000" w:themeColor="text1"/>
        </w:rPr>
      </w:pPr>
      <w:r w:rsidRPr="00390B8E">
        <w:rPr>
          <w:color w:val="000000" w:themeColor="text1"/>
        </w:rPr>
        <w:t xml:space="preserve">Our initial submission stressed the importance of proactive engagement on this issue, to ensure that any final </w:t>
      </w:r>
      <w:r w:rsidR="00C4318B" w:rsidRPr="00390B8E">
        <w:rPr>
          <w:color w:val="000000" w:themeColor="text1"/>
        </w:rPr>
        <w:t>regulations</w:t>
      </w:r>
      <w:r w:rsidRPr="00390B8E">
        <w:rPr>
          <w:color w:val="000000" w:themeColor="text1"/>
        </w:rPr>
        <w:t xml:space="preserve"> were specifically drafted to be appropriate to manage any real environmental risks relating to distribution infrastructure, and to avoid unnecessary expenditure. </w:t>
      </w:r>
    </w:p>
    <w:p w14:paraId="758A3AA9" w14:textId="33537244" w:rsidR="00643674" w:rsidRPr="00390B8E" w:rsidRDefault="00801E80" w:rsidP="00801E80">
      <w:pPr>
        <w:pStyle w:val="BodytextRPC"/>
        <w:rPr>
          <w:color w:val="000000" w:themeColor="text1"/>
        </w:rPr>
      </w:pPr>
      <w:r w:rsidRPr="00390B8E">
        <w:rPr>
          <w:color w:val="000000" w:themeColor="text1"/>
        </w:rPr>
        <w:t>The</w:t>
      </w:r>
      <w:r w:rsidR="00643674" w:rsidRPr="00390B8E">
        <w:rPr>
          <w:color w:val="000000" w:themeColor="text1"/>
        </w:rPr>
        <w:t xml:space="preserve"> extension of the Act’s enactment</w:t>
      </w:r>
      <w:r w:rsidRPr="00390B8E">
        <w:rPr>
          <w:color w:val="000000" w:themeColor="text1"/>
        </w:rPr>
        <w:t xml:space="preserve"> provided an opportunity for these issues to be resolved, and for</w:t>
      </w:r>
      <w:r w:rsidR="00643674" w:rsidRPr="00390B8E">
        <w:rPr>
          <w:color w:val="000000" w:themeColor="text1"/>
        </w:rPr>
        <w:t xml:space="preserve"> further engagement </w:t>
      </w:r>
      <w:r w:rsidRPr="00390B8E">
        <w:rPr>
          <w:color w:val="000000" w:themeColor="text1"/>
        </w:rPr>
        <w:t>to ensure that the regulations were considered and appropriate for distribution infrastructure.</w:t>
      </w:r>
    </w:p>
    <w:p w14:paraId="5B484A68" w14:textId="528D3D09" w:rsidR="00C22687" w:rsidRPr="00390B8E" w:rsidRDefault="00801E80" w:rsidP="004D1833">
      <w:pPr>
        <w:pStyle w:val="BodytextRPC"/>
        <w:rPr>
          <w:color w:val="000000" w:themeColor="text1"/>
        </w:rPr>
      </w:pPr>
      <w:r w:rsidRPr="00390B8E">
        <w:rPr>
          <w:color w:val="000000" w:themeColor="text1"/>
        </w:rPr>
        <w:t>Without the resolution of consumer doubts relating to the need for this investment and the</w:t>
      </w:r>
      <w:r w:rsidR="00EA4516" w:rsidRPr="00390B8E">
        <w:rPr>
          <w:color w:val="000000" w:themeColor="text1"/>
        </w:rPr>
        <w:t xml:space="preserve"> extent to which the regulations are fit-for-purpose, it is not appropriate that this spending be approved as an appropriate pass-through.</w:t>
      </w:r>
    </w:p>
    <w:p w14:paraId="403A4C60" w14:textId="2B4E740D" w:rsidR="008D1AC5" w:rsidRPr="00390B8E" w:rsidRDefault="00E86D25" w:rsidP="004D1833">
      <w:pPr>
        <w:pStyle w:val="BodytextRPC"/>
        <w:rPr>
          <w:color w:val="000000" w:themeColor="text1"/>
        </w:rPr>
      </w:pPr>
      <w:r w:rsidRPr="00390B8E">
        <w:rPr>
          <w:noProof/>
          <w:color w:val="000000" w:themeColor="text1"/>
        </w:rPr>
        <w:lastRenderedPageBreak/>
        <mc:AlternateContent>
          <mc:Choice Requires="wps">
            <w:drawing>
              <wp:anchor distT="0" distB="0" distL="114300" distR="114300" simplePos="0" relativeHeight="251670541" behindDoc="0" locked="0" layoutInCell="1" allowOverlap="1" wp14:anchorId="7BC6E8C4" wp14:editId="18DCA370">
                <wp:simplePos x="0" y="0"/>
                <wp:positionH relativeFrom="column">
                  <wp:posOffset>0</wp:posOffset>
                </wp:positionH>
                <wp:positionV relativeFrom="paragraph">
                  <wp:posOffset>325755</wp:posOffset>
                </wp:positionV>
                <wp:extent cx="5278120" cy="1828800"/>
                <wp:effectExtent l="0" t="0" r="17780" b="12065"/>
                <wp:wrapSquare wrapText="bothSides"/>
                <wp:docPr id="22" name="Text Box 22"/>
                <wp:cNvGraphicFramePr/>
                <a:graphic xmlns:a="http://schemas.openxmlformats.org/drawingml/2006/main">
                  <a:graphicData uri="http://schemas.microsoft.com/office/word/2010/wordprocessingShape">
                    <wps:wsp>
                      <wps:cNvSpPr txBox="1"/>
                      <wps:spPr>
                        <a:xfrm>
                          <a:off x="0" y="0"/>
                          <a:ext cx="5278120" cy="1828800"/>
                        </a:xfrm>
                        <a:prstGeom prst="rect">
                          <a:avLst/>
                        </a:prstGeom>
                        <a:noFill/>
                        <a:ln w="6350">
                          <a:solidFill>
                            <a:prstClr val="black"/>
                          </a:solidFill>
                        </a:ln>
                      </wps:spPr>
                      <wps:txbx>
                        <w:txbxContent>
                          <w:p w14:paraId="1922EED4" w14:textId="77777777" w:rsidR="000655E0" w:rsidRDefault="000655E0" w:rsidP="00E86D25">
                            <w:pPr>
                              <w:pStyle w:val="BodytextRPC"/>
                              <w:shd w:val="clear" w:color="auto" w:fill="000000" w:themeFill="text1"/>
                            </w:pPr>
                            <w:r>
                              <w:t>Key points</w:t>
                            </w:r>
                          </w:p>
                          <w:p w14:paraId="6C30E858" w14:textId="427C8858" w:rsidR="000655E0" w:rsidRDefault="000655E0" w:rsidP="000F32EE">
                            <w:pPr>
                              <w:pStyle w:val="BodytextRPC"/>
                              <w:numPr>
                                <w:ilvl w:val="0"/>
                                <w:numId w:val="14"/>
                              </w:numPr>
                            </w:pPr>
                            <w:r>
                              <w:t xml:space="preserve">We do not support the inclusion of EPA regulation compliance as a pass through, given the lack of consideration of distribution infrastructure in the regulations’ drafting process, and the lack of consultation undertaken with the EPA to resolve these concerns after the CPPALUE networks’ initial EPA-related expenditure was redacted.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C6E8C4" id="Text Box 22" o:spid="_x0000_s1037" type="#_x0000_t202" style="position:absolute;margin-left:0;margin-top:25.65pt;width:415.6pt;height:2in;z-index:2516705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" filled="f" strokeweight=".5pt">
                <v:textbox style="mso-fit-shape-to-text:t">
                  <w:txbxContent>
                    <w:p w14:paraId="1922EED4" w14:textId="77777777" w:rsidR="000655E0" w:rsidRDefault="000655E0" w:rsidP="00E86D25">
                      <w:pPr>
                        <w:pStyle w:val="BodytextRPC"/>
                        <w:shd w:val="clear" w:color="auto" w:fill="000000" w:themeFill="text1"/>
                      </w:pPr>
                      <w:r>
                        <w:t>Key points</w:t>
                      </w:r>
                    </w:p>
                    <w:p w14:paraId="6C30E858" w14:textId="427C8858" w:rsidR="000655E0" w:rsidRDefault="000655E0" w:rsidP="000F32EE">
                      <w:pPr>
                        <w:pStyle w:val="BodytextRPC"/>
                        <w:numPr>
                          <w:ilvl w:val="0"/>
                          <w:numId w:val="14"/>
                        </w:numPr>
                      </w:pPr>
                      <w:r>
                        <w:t xml:space="preserve">We do not support the inclusion of EPA regulation compliance as a pass through, given the lack of consideration of distribution infrastructure in the regulations’ drafting process, and the lack of consultation undertaken with the EPA to resolve these concerns after the CPPALUE networks’ initial EPA-related expenditure was redacted. </w:t>
                      </w:r>
                    </w:p>
                  </w:txbxContent>
                </v:textbox>
                <w10:wrap type="square"/>
              </v:shape>
            </w:pict>
          </mc:Fallback>
        </mc:AlternateContent>
      </w:r>
    </w:p>
    <w:p w14:paraId="2BB9D2EF" w14:textId="27B5BB01" w:rsidR="00243F28" w:rsidRPr="00390B8E" w:rsidRDefault="00243F28" w:rsidP="00243F28">
      <w:pPr>
        <w:pStyle w:val="BodytextRPCbeforebullets"/>
        <w:rPr>
          <w:rFonts w:asciiTheme="minorHAnsi" w:hAnsiTheme="minorHAnsi" w:cstheme="minorHAnsi"/>
          <w:color w:val="000000" w:themeColor="text1"/>
        </w:rPr>
      </w:pPr>
    </w:p>
    <w:p w14:paraId="7610CCCA" w14:textId="110644A0" w:rsidR="006F11FC" w:rsidRPr="00390B8E" w:rsidRDefault="006F11FC" w:rsidP="00A464A5">
      <w:pPr>
        <w:pStyle w:val="Heading1"/>
        <w:numPr>
          <w:ilvl w:val="0"/>
          <w:numId w:val="11"/>
        </w:numPr>
        <w:rPr>
          <w:rFonts w:asciiTheme="minorHAnsi" w:hAnsiTheme="minorHAnsi" w:cstheme="minorHAnsi"/>
        </w:rPr>
      </w:pPr>
      <w:bookmarkStart w:id="56" w:name="_Toc61341304"/>
      <w:r w:rsidRPr="00390B8E">
        <w:rPr>
          <w:rFonts w:asciiTheme="minorHAnsi" w:hAnsiTheme="minorHAnsi" w:cstheme="minorHAnsi"/>
        </w:rPr>
        <w:t>Tariff Structures</w:t>
      </w:r>
      <w:bookmarkEnd w:id="56"/>
    </w:p>
    <w:p w14:paraId="2AD13D6F" w14:textId="77777777" w:rsidR="00643674" w:rsidRPr="00390B8E" w:rsidRDefault="00643674" w:rsidP="00427C5B">
      <w:pPr>
        <w:pStyle w:val="Heading2"/>
      </w:pPr>
      <w:bookmarkStart w:id="57" w:name="_Toc38283943"/>
      <w:bookmarkStart w:id="58" w:name="_Toc61341305"/>
      <w:bookmarkEnd w:id="53"/>
      <w:r w:rsidRPr="00390B8E">
        <w:t>Time of Use Tariffs</w:t>
      </w:r>
      <w:bookmarkEnd w:id="58"/>
      <w:r w:rsidRPr="00390B8E">
        <w:t> </w:t>
      </w:r>
    </w:p>
    <w:p w14:paraId="382E9D12" w14:textId="77777777" w:rsidR="00643674" w:rsidRPr="00390B8E" w:rsidRDefault="00643674" w:rsidP="00B41CE7">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The networks have proposed a time-of-use tariff for distribution pricing, with higher residential charges between three and nine PM for affected households. The tariff will be assigned to some consumers (new solar consumers, new connections, electric vehicle owners, and three-phase consumers), on an opt-out basis for most networks. We understand that retailers will be required to continue to offer a basic flat tariff through the Victorian Default Offer.</w:t>
      </w:r>
    </w:p>
    <w:p w14:paraId="6F4C9BE5" w14:textId="77777777" w:rsidR="00643674" w:rsidRPr="00390B8E" w:rsidRDefault="00643674" w:rsidP="00427C5B">
      <w:pPr>
        <w:pStyle w:val="Heading2"/>
      </w:pPr>
      <w:bookmarkStart w:id="59" w:name="_Toc61341306"/>
      <w:r w:rsidRPr="00390B8E">
        <w:t>Assignment for legacy TOU customers</w:t>
      </w:r>
      <w:bookmarkEnd w:id="59"/>
    </w:p>
    <w:p w14:paraId="690590A8" w14:textId="77777777" w:rsidR="00643674" w:rsidRPr="00390B8E" w:rsidRDefault="00643674" w:rsidP="00B41CE7">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The AER recommended that legacy TOU customers be assigned to the new tariffs on an opt-out basis. Distributors have confirmed that the majority of customers on existing TOU customers will be better off under the new rates. </w:t>
      </w:r>
    </w:p>
    <w:p w14:paraId="2AC71CF6" w14:textId="05BF93AE" w:rsidR="00643674" w:rsidRPr="00390B8E" w:rsidRDefault="00643674" w:rsidP="00B41CE7">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VCO support this proposal, which will simplify the range of available offers.</w:t>
      </w:r>
    </w:p>
    <w:p w14:paraId="60B45D5D" w14:textId="72A4791C" w:rsidR="00643674" w:rsidRPr="00390B8E" w:rsidRDefault="00643674" w:rsidP="00643674">
      <w:pPr>
        <w:pStyle w:val="Heading2"/>
      </w:pPr>
      <w:bookmarkStart w:id="60" w:name="_Toc61341307"/>
      <w:r w:rsidRPr="00390B8E">
        <w:t>Fixed tariff component</w:t>
      </w:r>
      <w:bookmarkEnd w:id="60"/>
    </w:p>
    <w:p w14:paraId="026EA37D" w14:textId="3B9AC787" w:rsidR="00643674" w:rsidRPr="00390B8E" w:rsidRDefault="00643674" w:rsidP="00643674">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Jemena and United Energy have proposed significant increases in the fixed component of their tariffs</w:t>
      </w:r>
      <w:r w:rsidR="00D412CF" w:rsidRPr="00390B8E">
        <w:rPr>
          <w:rFonts w:asciiTheme="minorHAnsi" w:hAnsiTheme="minorHAnsi" w:cstheme="minorHAnsi"/>
          <w:color w:val="000000" w:themeColor="text1"/>
        </w:rPr>
        <w:t>.</w:t>
      </w:r>
    </w:p>
    <w:p w14:paraId="698298B2" w14:textId="35972664" w:rsidR="00643674" w:rsidRPr="00390B8E" w:rsidRDefault="00643674" w:rsidP="00643674">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Distributors have justified this shift on the grounds that fixed tariffs more closely reflect the sunk costs that make up the majority of distributors’ costs, and that this satisfies the NER requirement for cost reflectivity</w:t>
      </w:r>
      <w:r w:rsidR="007A1B25" w:rsidRPr="00390B8E">
        <w:rPr>
          <w:rFonts w:asciiTheme="minorHAnsi" w:hAnsiTheme="minorHAnsi" w:cstheme="minorHAnsi"/>
          <w:color w:val="000000" w:themeColor="text1"/>
        </w:rPr>
        <w:t>.</w:t>
      </w:r>
    </w:p>
    <w:p w14:paraId="5228DDE6" w14:textId="5B7B707A" w:rsidR="00643674" w:rsidRPr="00390B8E" w:rsidRDefault="00643674" w:rsidP="00643674">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Jemena and United Energy currently have a lower proportion of their tariffs charged through fixed rates than other NEM distributors</w:t>
      </w:r>
      <w:r w:rsidR="00D412CF" w:rsidRPr="00390B8E">
        <w:rPr>
          <w:rFonts w:asciiTheme="minorHAnsi" w:hAnsiTheme="minorHAnsi" w:cstheme="minorHAnsi"/>
          <w:color w:val="000000" w:themeColor="text1"/>
        </w:rPr>
        <w:t>.</w:t>
      </w:r>
    </w:p>
    <w:p w14:paraId="04D5AD5B" w14:textId="77777777" w:rsidR="00643674" w:rsidRPr="00390B8E" w:rsidRDefault="00643674" w:rsidP="00643674">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Consumers benefit from achieving reasonable consistency in tariff structures between the Victorian networks. VCO accepts consistency as a principle for bringing the tariffs into closer alignment.</w:t>
      </w:r>
    </w:p>
    <w:p w14:paraId="146825A6" w14:textId="77777777" w:rsidR="00643674" w:rsidRPr="00390B8E" w:rsidRDefault="00643674" w:rsidP="00643674">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lastRenderedPageBreak/>
        <w:t>However, we are concerned about the potential customer impacts of the ongoing trend of increasing fixed charges, and it has not been demonstrated to us that they have been fully considered.</w:t>
      </w:r>
    </w:p>
    <w:p w14:paraId="7A78FD82" w14:textId="42876DE3" w:rsidR="00643674" w:rsidRPr="00390B8E" w:rsidRDefault="00EA4516" w:rsidP="00643674">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Higher</w:t>
      </w:r>
      <w:r w:rsidR="00643674" w:rsidRPr="00390B8E">
        <w:rPr>
          <w:rFonts w:asciiTheme="minorHAnsi" w:hAnsiTheme="minorHAnsi" w:cstheme="minorHAnsi"/>
          <w:color w:val="000000" w:themeColor="text1"/>
        </w:rPr>
        <w:t xml:space="preserve"> fixed charge</w:t>
      </w:r>
      <w:r w:rsidRPr="00390B8E">
        <w:rPr>
          <w:rFonts w:asciiTheme="minorHAnsi" w:hAnsiTheme="minorHAnsi" w:cstheme="minorHAnsi"/>
          <w:color w:val="000000" w:themeColor="text1"/>
        </w:rPr>
        <w:t>s</w:t>
      </w:r>
      <w:r w:rsidR="00643674" w:rsidRPr="00390B8E">
        <w:rPr>
          <w:rFonts w:asciiTheme="minorHAnsi" w:hAnsiTheme="minorHAnsi" w:cstheme="minorHAnsi"/>
          <w:color w:val="000000" w:themeColor="text1"/>
        </w:rPr>
        <w:t xml:space="preserve"> may benefit the type of vulnerable customer that typically has a larger-than-average load – due to factors like inefficient appliances and housing, non-discretionary loads like air-conditioning needs, large families, or a lack of control over their lived environment (like renters.) This type of vulnerable customer is often represented </w:t>
      </w:r>
      <w:r w:rsidR="005806D0" w:rsidRPr="00390B8E">
        <w:rPr>
          <w:rFonts w:asciiTheme="minorHAnsi" w:hAnsiTheme="minorHAnsi" w:cstheme="minorHAnsi"/>
          <w:color w:val="000000" w:themeColor="text1"/>
        </w:rPr>
        <w:t>amongst identified</w:t>
      </w:r>
      <w:r w:rsidR="00643674" w:rsidRPr="00390B8E">
        <w:rPr>
          <w:rFonts w:asciiTheme="minorHAnsi" w:hAnsiTheme="minorHAnsi" w:cstheme="minorHAnsi"/>
          <w:color w:val="000000" w:themeColor="text1"/>
        </w:rPr>
        <w:t xml:space="preserve"> hardship </w:t>
      </w:r>
      <w:r w:rsidR="005806D0" w:rsidRPr="00390B8E">
        <w:rPr>
          <w:rFonts w:asciiTheme="minorHAnsi" w:hAnsiTheme="minorHAnsi" w:cstheme="minorHAnsi"/>
          <w:color w:val="000000" w:themeColor="text1"/>
        </w:rPr>
        <w:t>customers</w:t>
      </w:r>
      <w:r w:rsidR="00643674" w:rsidRPr="00390B8E">
        <w:rPr>
          <w:rFonts w:asciiTheme="minorHAnsi" w:hAnsiTheme="minorHAnsi" w:cstheme="minorHAnsi"/>
          <w:color w:val="000000" w:themeColor="text1"/>
        </w:rPr>
        <w:t>.</w:t>
      </w:r>
    </w:p>
    <w:p w14:paraId="0EA26AE0" w14:textId="3D4F0710" w:rsidR="00643674" w:rsidRPr="00390B8E" w:rsidRDefault="00643674" w:rsidP="00643674">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 xml:space="preserve">However, many </w:t>
      </w:r>
      <w:proofErr w:type="gramStart"/>
      <w:r w:rsidRPr="00390B8E">
        <w:rPr>
          <w:rFonts w:asciiTheme="minorHAnsi" w:hAnsiTheme="minorHAnsi" w:cstheme="minorHAnsi"/>
          <w:color w:val="000000" w:themeColor="text1"/>
        </w:rPr>
        <w:t>low income</w:t>
      </w:r>
      <w:proofErr w:type="gramEnd"/>
      <w:r w:rsidRPr="00390B8E">
        <w:rPr>
          <w:rFonts w:asciiTheme="minorHAnsi" w:hAnsiTheme="minorHAnsi" w:cstheme="minorHAnsi"/>
          <w:color w:val="000000" w:themeColor="text1"/>
        </w:rPr>
        <w:t xml:space="preserve"> households</w:t>
      </w:r>
      <w:r w:rsidR="00EA4516" w:rsidRPr="00390B8E">
        <w:rPr>
          <w:rFonts w:asciiTheme="minorHAnsi" w:hAnsiTheme="minorHAnsi" w:cstheme="minorHAnsi"/>
          <w:color w:val="000000" w:themeColor="text1"/>
        </w:rPr>
        <w:t>,</w:t>
      </w:r>
      <w:r w:rsidRPr="00390B8E">
        <w:rPr>
          <w:rFonts w:asciiTheme="minorHAnsi" w:hAnsiTheme="minorHAnsi" w:cstheme="minorHAnsi"/>
          <w:color w:val="000000" w:themeColor="text1"/>
        </w:rPr>
        <w:t xml:space="preserve"> who are burdened by high and growing costs</w:t>
      </w:r>
      <w:r w:rsidR="00EA4516" w:rsidRPr="00390B8E">
        <w:rPr>
          <w:rFonts w:asciiTheme="minorHAnsi" w:hAnsiTheme="minorHAnsi" w:cstheme="minorHAnsi"/>
          <w:color w:val="000000" w:themeColor="text1"/>
        </w:rPr>
        <w:t>-</w:t>
      </w:r>
      <w:r w:rsidRPr="00390B8E">
        <w:rPr>
          <w:rFonts w:asciiTheme="minorHAnsi" w:hAnsiTheme="minorHAnsi" w:cstheme="minorHAnsi"/>
          <w:color w:val="000000" w:themeColor="text1"/>
        </w:rPr>
        <w:t>of</w:t>
      </w:r>
      <w:r w:rsidR="00EA4516" w:rsidRPr="00390B8E">
        <w:rPr>
          <w:rFonts w:asciiTheme="minorHAnsi" w:hAnsiTheme="minorHAnsi" w:cstheme="minorHAnsi"/>
          <w:color w:val="000000" w:themeColor="text1"/>
        </w:rPr>
        <w:t>-</w:t>
      </w:r>
      <w:r w:rsidRPr="00390B8E">
        <w:rPr>
          <w:rFonts w:asciiTheme="minorHAnsi" w:hAnsiTheme="minorHAnsi" w:cstheme="minorHAnsi"/>
          <w:color w:val="000000" w:themeColor="text1"/>
        </w:rPr>
        <w:t>living</w:t>
      </w:r>
      <w:r w:rsidR="00EA4516" w:rsidRPr="00390B8E">
        <w:rPr>
          <w:rFonts w:asciiTheme="minorHAnsi" w:hAnsiTheme="minorHAnsi" w:cstheme="minorHAnsi"/>
          <w:color w:val="000000" w:themeColor="text1"/>
        </w:rPr>
        <w:t>,</w:t>
      </w:r>
      <w:r w:rsidRPr="00390B8E">
        <w:rPr>
          <w:rFonts w:asciiTheme="minorHAnsi" w:hAnsiTheme="minorHAnsi" w:cstheme="minorHAnsi"/>
          <w:color w:val="000000" w:themeColor="text1"/>
        </w:rPr>
        <w:t xml:space="preserve"> generally have lower-than-average loads. These customers are disadvantaged by increasing fixed charges.</w:t>
      </w:r>
    </w:p>
    <w:p w14:paraId="07EAD697" w14:textId="76627D13" w:rsidR="00643674" w:rsidRPr="00390B8E" w:rsidRDefault="00643674" w:rsidP="00643674">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 xml:space="preserve">Further, higher fixed charges reduce the capacity of consumers to act to reduce their electricity costs by changing their behaviour when they are unable to afford their bills. </w:t>
      </w:r>
    </w:p>
    <w:p w14:paraId="059DAB2E" w14:textId="0C914D9E" w:rsidR="00373807" w:rsidRPr="00390B8E" w:rsidRDefault="00643674" w:rsidP="000C5C1C">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We are particularly concerned that these decisions are being made without a strong understanding of the relationships between electricity consumption patterns (especially total annual volumes) and income/vulnerability to energy stress, and the relative numbers of different types of vulnerable customers – low versus high consumers – are in our community. A quantitative understanding of this correlation is needed to make an informed decision about customer impact. Additionally, more clarity about the business reasons for setting the fixed charge at the proposed level would aid our assessment of how well the networks have balanced cost-reflectivity with customer impact.</w:t>
      </w:r>
    </w:p>
    <w:p w14:paraId="0063BC9A" w14:textId="77777777" w:rsidR="00643674" w:rsidRPr="00390B8E" w:rsidRDefault="00643674" w:rsidP="00427C5B">
      <w:pPr>
        <w:pStyle w:val="Heading2"/>
      </w:pPr>
      <w:bookmarkStart w:id="61" w:name="_Toc61341308"/>
      <w:r w:rsidRPr="00390B8E">
        <w:t>Network-scale battery tariff</w:t>
      </w:r>
      <w:bookmarkEnd w:id="61"/>
    </w:p>
    <w:p w14:paraId="0D4701E4" w14:textId="608F80BE" w:rsidR="00643674" w:rsidRPr="00390B8E" w:rsidRDefault="00643674" w:rsidP="00BA3962">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 xml:space="preserve">The determination flags that they are seeking input on the proposals from some distributors for grid-scale battery tariffs, while also noting that upcoming rule changes proposed by AEMO may </w:t>
      </w:r>
      <w:r w:rsidR="005806D0" w:rsidRPr="00390B8E">
        <w:rPr>
          <w:rFonts w:asciiTheme="minorHAnsi" w:hAnsiTheme="minorHAnsi" w:cstheme="minorHAnsi"/>
          <w:color w:val="000000" w:themeColor="text1"/>
        </w:rPr>
        <w:t>supersede</w:t>
      </w:r>
      <w:r w:rsidRPr="00390B8E">
        <w:rPr>
          <w:rFonts w:asciiTheme="minorHAnsi" w:hAnsiTheme="minorHAnsi" w:cstheme="minorHAnsi"/>
          <w:color w:val="000000" w:themeColor="text1"/>
        </w:rPr>
        <w:t xml:space="preserve"> decisions made in relation to these proposals. </w:t>
      </w:r>
    </w:p>
    <w:p w14:paraId="7820462B" w14:textId="77777777" w:rsidR="00643674" w:rsidRPr="00390B8E" w:rsidRDefault="00643674" w:rsidP="00BA3962">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The AER proposes four potential approaches:</w:t>
      </w:r>
    </w:p>
    <w:p w14:paraId="0930CCA3" w14:textId="7B38C6BE" w:rsidR="00643674" w:rsidRPr="00390B8E" w:rsidRDefault="00643674" w:rsidP="00BA3962">
      <w:pPr>
        <w:pStyle w:val="BodytextRPCbeforebullets"/>
        <w:numPr>
          <w:ilvl w:val="0"/>
          <w:numId w:val="36"/>
        </w:numPr>
        <w:rPr>
          <w:rFonts w:asciiTheme="minorHAnsi" w:hAnsiTheme="minorHAnsi" w:cstheme="minorHAnsi"/>
          <w:color w:val="000000" w:themeColor="text1"/>
        </w:rPr>
      </w:pPr>
      <w:r w:rsidRPr="00390B8E">
        <w:rPr>
          <w:rFonts w:asciiTheme="minorHAnsi" w:hAnsiTheme="minorHAnsi" w:cstheme="minorHAnsi"/>
          <w:color w:val="000000" w:themeColor="text1"/>
        </w:rPr>
        <w:t>Accept the Victorian distributors’ proposed treatment of grid-scale batteries. </w:t>
      </w:r>
    </w:p>
    <w:p w14:paraId="3027387F" w14:textId="046655EF" w:rsidR="00643674" w:rsidRPr="00390B8E" w:rsidRDefault="00643674" w:rsidP="00BA3962">
      <w:pPr>
        <w:pStyle w:val="BodytextRPCbeforebullets"/>
        <w:numPr>
          <w:ilvl w:val="0"/>
          <w:numId w:val="36"/>
        </w:numPr>
        <w:rPr>
          <w:rFonts w:asciiTheme="minorHAnsi" w:hAnsiTheme="minorHAnsi" w:cstheme="minorHAnsi"/>
          <w:color w:val="000000" w:themeColor="text1"/>
        </w:rPr>
      </w:pPr>
      <w:r w:rsidRPr="00390B8E">
        <w:rPr>
          <w:rFonts w:asciiTheme="minorHAnsi" w:hAnsiTheme="minorHAnsi" w:cstheme="minorHAnsi"/>
          <w:color w:val="000000" w:themeColor="text1"/>
        </w:rPr>
        <w:t xml:space="preserve">Require </w:t>
      </w:r>
      <w:r w:rsidR="00B46557" w:rsidRPr="00390B8E">
        <w:rPr>
          <w:rFonts w:asciiTheme="minorHAnsi" w:hAnsiTheme="minorHAnsi" w:cstheme="minorHAnsi"/>
          <w:color w:val="000000" w:themeColor="text1"/>
        </w:rPr>
        <w:t>AusNet</w:t>
      </w:r>
      <w:r w:rsidRPr="00390B8E">
        <w:rPr>
          <w:rFonts w:asciiTheme="minorHAnsi" w:hAnsiTheme="minorHAnsi" w:cstheme="minorHAnsi"/>
          <w:color w:val="000000" w:themeColor="text1"/>
        </w:rPr>
        <w:t xml:space="preserve"> Services and Jemena to offer similar network tariff exemptions to those proposed by </w:t>
      </w:r>
      <w:r w:rsidR="00B46557" w:rsidRPr="00390B8E">
        <w:rPr>
          <w:rFonts w:asciiTheme="minorHAnsi" w:hAnsiTheme="minorHAnsi" w:cstheme="minorHAnsi"/>
          <w:color w:val="000000" w:themeColor="text1"/>
        </w:rPr>
        <w:t>CitiPower</w:t>
      </w:r>
      <w:r w:rsidRPr="00390B8E">
        <w:rPr>
          <w:rFonts w:asciiTheme="minorHAnsi" w:hAnsiTheme="minorHAnsi" w:cstheme="minorHAnsi"/>
          <w:color w:val="000000" w:themeColor="text1"/>
        </w:rPr>
        <w:t>, Powercor, and United Energy. </w:t>
      </w:r>
    </w:p>
    <w:p w14:paraId="6BAF2B36" w14:textId="77777777" w:rsidR="00643674" w:rsidRPr="00390B8E" w:rsidRDefault="00643674" w:rsidP="00BA3962">
      <w:pPr>
        <w:pStyle w:val="BodytextRPCbeforebullets"/>
        <w:numPr>
          <w:ilvl w:val="0"/>
          <w:numId w:val="36"/>
        </w:numPr>
        <w:rPr>
          <w:rFonts w:asciiTheme="minorHAnsi" w:hAnsiTheme="minorHAnsi" w:cstheme="minorHAnsi"/>
          <w:color w:val="000000" w:themeColor="text1"/>
        </w:rPr>
      </w:pPr>
      <w:r w:rsidRPr="00390B8E">
        <w:rPr>
          <w:rFonts w:asciiTheme="minorHAnsi" w:hAnsiTheme="minorHAnsi" w:cstheme="minorHAnsi"/>
          <w:color w:val="000000" w:themeColor="text1"/>
        </w:rPr>
        <w:t>Require all Victorian distributors to exempt grid-scale batteries from the residual component of network tariffs. </w:t>
      </w:r>
    </w:p>
    <w:p w14:paraId="078D27C8" w14:textId="712E0727" w:rsidR="00643674" w:rsidRPr="00390B8E" w:rsidRDefault="00643674" w:rsidP="00BA3962">
      <w:pPr>
        <w:pStyle w:val="BodytextRPCbeforebullets"/>
        <w:numPr>
          <w:ilvl w:val="0"/>
          <w:numId w:val="36"/>
        </w:numPr>
        <w:rPr>
          <w:rFonts w:asciiTheme="minorHAnsi" w:hAnsiTheme="minorHAnsi" w:cstheme="minorHAnsi"/>
          <w:color w:val="000000" w:themeColor="text1"/>
        </w:rPr>
      </w:pPr>
      <w:r w:rsidRPr="00390B8E">
        <w:rPr>
          <w:rFonts w:asciiTheme="minorHAnsi" w:hAnsiTheme="minorHAnsi" w:cstheme="minorHAnsi"/>
          <w:color w:val="000000" w:themeColor="text1"/>
        </w:rPr>
        <w:t>Require all distributors to exempt grid-scale batteries from network tariffs if the battery is registered as a scheduled load.’</w:t>
      </w:r>
    </w:p>
    <w:p w14:paraId="0B76E800" w14:textId="3DB7DD2D" w:rsidR="00643674" w:rsidRPr="00390B8E" w:rsidRDefault="00643674" w:rsidP="00BA3962">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 xml:space="preserve">VCO welcome the distributors proposals to formalise arrangements for grid-scale batteries. We are keen to see </w:t>
      </w:r>
      <w:r w:rsidR="00265C52" w:rsidRPr="00390B8E">
        <w:rPr>
          <w:rFonts w:asciiTheme="minorHAnsi" w:hAnsiTheme="minorHAnsi" w:cstheme="minorHAnsi"/>
          <w:color w:val="000000" w:themeColor="text1"/>
        </w:rPr>
        <w:t>the development of a</w:t>
      </w:r>
      <w:r w:rsidRPr="00390B8E">
        <w:rPr>
          <w:rFonts w:asciiTheme="minorHAnsi" w:hAnsiTheme="minorHAnsi" w:cstheme="minorHAnsi"/>
          <w:color w:val="000000" w:themeColor="text1"/>
        </w:rPr>
        <w:t xml:space="preserve"> framework that </w:t>
      </w:r>
      <w:r w:rsidR="00427C5B" w:rsidRPr="00390B8E">
        <w:rPr>
          <w:rFonts w:asciiTheme="minorHAnsi" w:hAnsiTheme="minorHAnsi" w:cstheme="minorHAnsi"/>
          <w:color w:val="000000" w:themeColor="text1"/>
        </w:rPr>
        <w:t>will</w:t>
      </w:r>
      <w:r w:rsidR="00265C52" w:rsidRPr="00390B8E">
        <w:rPr>
          <w:rFonts w:asciiTheme="minorHAnsi" w:hAnsiTheme="minorHAnsi" w:cstheme="minorHAnsi"/>
          <w:color w:val="000000" w:themeColor="text1"/>
        </w:rPr>
        <w:t xml:space="preserve"> enable</w:t>
      </w:r>
      <w:r w:rsidRPr="00390B8E">
        <w:rPr>
          <w:rFonts w:asciiTheme="minorHAnsi" w:hAnsiTheme="minorHAnsi" w:cstheme="minorHAnsi"/>
          <w:color w:val="000000" w:themeColor="text1"/>
        </w:rPr>
        <w:t xml:space="preserve"> the full lifecycle costs and benefits of batteries </w:t>
      </w:r>
      <w:r w:rsidR="00265C52" w:rsidRPr="00390B8E">
        <w:rPr>
          <w:rFonts w:asciiTheme="minorHAnsi" w:hAnsiTheme="minorHAnsi" w:cstheme="minorHAnsi"/>
          <w:color w:val="000000" w:themeColor="text1"/>
        </w:rPr>
        <w:t xml:space="preserve">to be </w:t>
      </w:r>
      <w:r w:rsidRPr="00390B8E">
        <w:rPr>
          <w:rFonts w:asciiTheme="minorHAnsi" w:hAnsiTheme="minorHAnsi" w:cstheme="minorHAnsi"/>
          <w:color w:val="000000" w:themeColor="text1"/>
        </w:rPr>
        <w:t xml:space="preserve">fairly </w:t>
      </w:r>
      <w:r w:rsidR="00265C52" w:rsidRPr="00390B8E">
        <w:rPr>
          <w:rFonts w:asciiTheme="minorHAnsi" w:hAnsiTheme="minorHAnsi" w:cstheme="minorHAnsi"/>
          <w:color w:val="000000" w:themeColor="text1"/>
        </w:rPr>
        <w:t xml:space="preserve">evaluated </w:t>
      </w:r>
      <w:r w:rsidRPr="00390B8E">
        <w:rPr>
          <w:rFonts w:asciiTheme="minorHAnsi" w:hAnsiTheme="minorHAnsi" w:cstheme="minorHAnsi"/>
          <w:color w:val="000000" w:themeColor="text1"/>
        </w:rPr>
        <w:t>against other potential solutions to given grid constraints.</w:t>
      </w:r>
    </w:p>
    <w:p w14:paraId="3595CA9A" w14:textId="0373BE1E" w:rsidR="00643674" w:rsidRPr="00390B8E" w:rsidRDefault="00643674" w:rsidP="00BA3962">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lastRenderedPageBreak/>
        <w:t>Fully cost-reflective tariffs are appropriate for grid-scale batteries. Battery operators should cover any cost that they directly incur– such as augmentation required to enable export at times of high grid voltage if required, or a modest cost to administer their establishment on the network. However, they should not be required to cover general sunk or ongoing operation costs</w:t>
      </w:r>
      <w:r w:rsidR="007679E0" w:rsidRPr="00390B8E">
        <w:rPr>
          <w:rFonts w:asciiTheme="minorHAnsi" w:hAnsiTheme="minorHAnsi" w:cstheme="minorHAnsi"/>
          <w:color w:val="000000" w:themeColor="text1"/>
        </w:rPr>
        <w:t xml:space="preserve"> in line with any consumption/export charges that relate to consumers</w:t>
      </w:r>
      <w:r w:rsidR="009C5E97" w:rsidRPr="00390B8E">
        <w:rPr>
          <w:rFonts w:asciiTheme="minorHAnsi" w:hAnsiTheme="minorHAnsi" w:cstheme="minorHAnsi"/>
          <w:color w:val="000000" w:themeColor="text1"/>
        </w:rPr>
        <w:t xml:space="preserve"> </w:t>
      </w:r>
      <w:r w:rsidR="007679E0" w:rsidRPr="00390B8E">
        <w:rPr>
          <w:rFonts w:asciiTheme="minorHAnsi" w:hAnsiTheme="minorHAnsi" w:cstheme="minorHAnsi"/>
          <w:color w:val="000000" w:themeColor="text1"/>
        </w:rPr>
        <w:t>– they should instead be considered</w:t>
      </w:r>
      <w:r w:rsidR="009C5E97" w:rsidRPr="00390B8E">
        <w:rPr>
          <w:rFonts w:asciiTheme="minorHAnsi" w:hAnsiTheme="minorHAnsi" w:cstheme="minorHAnsi"/>
          <w:color w:val="000000" w:themeColor="text1"/>
        </w:rPr>
        <w:t xml:space="preserve"> network infrastructure</w:t>
      </w:r>
      <w:r w:rsidRPr="00390B8E">
        <w:rPr>
          <w:rFonts w:asciiTheme="minorHAnsi" w:hAnsiTheme="minorHAnsi" w:cstheme="minorHAnsi"/>
          <w:color w:val="000000" w:themeColor="text1"/>
        </w:rPr>
        <w:t xml:space="preserve">. </w:t>
      </w:r>
      <w:r w:rsidR="007679E0" w:rsidRPr="00390B8E">
        <w:rPr>
          <w:rFonts w:asciiTheme="minorHAnsi" w:hAnsiTheme="minorHAnsi" w:cstheme="minorHAnsi"/>
          <w:color w:val="000000" w:themeColor="text1"/>
        </w:rPr>
        <w:t>Distribution charges must be consistent with the</w:t>
      </w:r>
      <w:r w:rsidRPr="00390B8E">
        <w:rPr>
          <w:rFonts w:asciiTheme="minorHAnsi" w:hAnsiTheme="minorHAnsi" w:cstheme="minorHAnsi"/>
          <w:color w:val="000000" w:themeColor="text1"/>
        </w:rPr>
        <w:t xml:space="preserve"> treatment of other </w:t>
      </w:r>
      <w:r w:rsidR="009C5E97" w:rsidRPr="00390B8E">
        <w:rPr>
          <w:rFonts w:asciiTheme="minorHAnsi" w:hAnsiTheme="minorHAnsi" w:cstheme="minorHAnsi"/>
          <w:color w:val="000000" w:themeColor="text1"/>
        </w:rPr>
        <w:t>technologies</w:t>
      </w:r>
      <w:r w:rsidRPr="00390B8E">
        <w:rPr>
          <w:rFonts w:asciiTheme="minorHAnsi" w:hAnsiTheme="minorHAnsi" w:cstheme="minorHAnsi"/>
          <w:color w:val="000000" w:themeColor="text1"/>
        </w:rPr>
        <w:t xml:space="preserve"> available to resolve grid constraints</w:t>
      </w:r>
      <w:r w:rsidR="009C5E97" w:rsidRPr="00390B8E">
        <w:rPr>
          <w:rFonts w:asciiTheme="minorHAnsi" w:hAnsiTheme="minorHAnsi" w:cstheme="minorHAnsi"/>
          <w:color w:val="000000" w:themeColor="text1"/>
        </w:rPr>
        <w:t xml:space="preserve">, </w:t>
      </w:r>
      <w:r w:rsidR="007679E0" w:rsidRPr="00390B8E">
        <w:rPr>
          <w:rFonts w:asciiTheme="minorHAnsi" w:hAnsiTheme="minorHAnsi" w:cstheme="minorHAnsi"/>
          <w:color w:val="000000" w:themeColor="text1"/>
        </w:rPr>
        <w:t>such as transformer upgrades, to allow meaningful</w:t>
      </w:r>
      <w:r w:rsidR="009C5E97" w:rsidRPr="00390B8E">
        <w:rPr>
          <w:rFonts w:asciiTheme="minorHAnsi" w:hAnsiTheme="minorHAnsi" w:cstheme="minorHAnsi"/>
          <w:color w:val="000000" w:themeColor="text1"/>
        </w:rPr>
        <w:t xml:space="preserve"> business</w:t>
      </w:r>
      <w:r w:rsidR="007679E0" w:rsidRPr="00390B8E">
        <w:rPr>
          <w:rFonts w:asciiTheme="minorHAnsi" w:hAnsiTheme="minorHAnsi" w:cstheme="minorHAnsi"/>
          <w:color w:val="000000" w:themeColor="text1"/>
        </w:rPr>
        <w:t>-</w:t>
      </w:r>
      <w:r w:rsidR="009C5E97" w:rsidRPr="00390B8E">
        <w:rPr>
          <w:rFonts w:asciiTheme="minorHAnsi" w:hAnsiTheme="minorHAnsi" w:cstheme="minorHAnsi"/>
          <w:color w:val="000000" w:themeColor="text1"/>
        </w:rPr>
        <w:t xml:space="preserve">case </w:t>
      </w:r>
      <w:r w:rsidR="007679E0" w:rsidRPr="00390B8E">
        <w:rPr>
          <w:rFonts w:asciiTheme="minorHAnsi" w:hAnsiTheme="minorHAnsi" w:cstheme="minorHAnsi"/>
          <w:color w:val="000000" w:themeColor="text1"/>
        </w:rPr>
        <w:t>options analysis</w:t>
      </w:r>
      <w:r w:rsidR="009C5E97" w:rsidRPr="00390B8E">
        <w:rPr>
          <w:rFonts w:asciiTheme="minorHAnsi" w:hAnsiTheme="minorHAnsi" w:cstheme="minorHAnsi"/>
          <w:color w:val="000000" w:themeColor="text1"/>
        </w:rPr>
        <w:t>.</w:t>
      </w:r>
    </w:p>
    <w:p w14:paraId="4E8A460B" w14:textId="20413C24" w:rsidR="00643674" w:rsidRPr="00390B8E" w:rsidRDefault="00643674" w:rsidP="00BA3962">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In line with this principle, Option 2 (depending on the nature of the contracts established, of which little detail is provided) and Option 4 appear to be practical approaches to accommodating early grid-scale batteries on the network.</w:t>
      </w:r>
    </w:p>
    <w:p w14:paraId="582E1AA5" w14:textId="71CD62A7" w:rsidR="00643674" w:rsidRPr="00390B8E" w:rsidRDefault="009C5E97" w:rsidP="00BA3962">
      <w:pPr>
        <w:pStyle w:val="BodytextRPCbeforebullets"/>
        <w:rPr>
          <w:rFonts w:asciiTheme="minorHAnsi" w:hAnsiTheme="minorHAnsi" w:cstheme="minorHAnsi"/>
          <w:color w:val="000000" w:themeColor="text1"/>
        </w:rPr>
      </w:pPr>
      <w:r w:rsidRPr="00390B8E">
        <w:rPr>
          <w:rFonts w:asciiTheme="minorHAnsi" w:hAnsiTheme="minorHAnsi" w:cstheme="minorHAnsi"/>
          <w:color w:val="000000" w:themeColor="text1"/>
        </w:rPr>
        <w:t xml:space="preserve">Option 2 </w:t>
      </w:r>
      <w:r w:rsidR="00EA4516" w:rsidRPr="00390B8E">
        <w:rPr>
          <w:rFonts w:asciiTheme="minorHAnsi" w:hAnsiTheme="minorHAnsi" w:cstheme="minorHAnsi"/>
          <w:color w:val="000000" w:themeColor="text1"/>
        </w:rPr>
        <w:t>may</w:t>
      </w:r>
      <w:r w:rsidRPr="00390B8E">
        <w:rPr>
          <w:rFonts w:asciiTheme="minorHAnsi" w:hAnsiTheme="minorHAnsi" w:cstheme="minorHAnsi"/>
          <w:color w:val="000000" w:themeColor="text1"/>
        </w:rPr>
        <w:t xml:space="preserve"> provide </w:t>
      </w:r>
      <w:r w:rsidR="007A1B25" w:rsidRPr="00390B8E">
        <w:rPr>
          <w:rFonts w:asciiTheme="minorHAnsi" w:hAnsiTheme="minorHAnsi" w:cstheme="minorHAnsi"/>
          <w:color w:val="000000" w:themeColor="text1"/>
        </w:rPr>
        <w:t>advantages where it is possible to use API platforms to</w:t>
      </w:r>
      <w:r w:rsidRPr="00390B8E">
        <w:rPr>
          <w:rFonts w:asciiTheme="minorHAnsi" w:hAnsiTheme="minorHAnsi" w:cstheme="minorHAnsi"/>
          <w:color w:val="000000" w:themeColor="text1"/>
        </w:rPr>
        <w:t xml:space="preserve"> </w:t>
      </w:r>
      <w:r w:rsidR="007A1B25" w:rsidRPr="00390B8E">
        <w:rPr>
          <w:rFonts w:asciiTheme="minorHAnsi" w:hAnsiTheme="minorHAnsi" w:cstheme="minorHAnsi"/>
          <w:color w:val="000000" w:themeColor="text1"/>
        </w:rPr>
        <w:t>define</w:t>
      </w:r>
      <w:r w:rsidRPr="00390B8E">
        <w:rPr>
          <w:rFonts w:asciiTheme="minorHAnsi" w:hAnsiTheme="minorHAnsi" w:cstheme="minorHAnsi"/>
          <w:color w:val="000000" w:themeColor="text1"/>
        </w:rPr>
        <w:t xml:space="preserve"> </w:t>
      </w:r>
      <w:r w:rsidR="001F51AF" w:rsidRPr="00390B8E">
        <w:rPr>
          <w:rFonts w:asciiTheme="minorHAnsi" w:hAnsiTheme="minorHAnsi" w:cstheme="minorHAnsi"/>
          <w:color w:val="000000" w:themeColor="text1"/>
        </w:rPr>
        <w:t xml:space="preserve">dynamic envelopes rather than </w:t>
      </w:r>
      <w:r w:rsidR="00EA4516" w:rsidRPr="00390B8E">
        <w:rPr>
          <w:rFonts w:asciiTheme="minorHAnsi" w:hAnsiTheme="minorHAnsi" w:cstheme="minorHAnsi"/>
          <w:color w:val="000000" w:themeColor="text1"/>
        </w:rPr>
        <w:t>scheduled</w:t>
      </w:r>
      <w:r w:rsidR="001F51AF" w:rsidRPr="00390B8E">
        <w:rPr>
          <w:rFonts w:asciiTheme="minorHAnsi" w:hAnsiTheme="minorHAnsi" w:cstheme="minorHAnsi"/>
          <w:color w:val="000000" w:themeColor="text1"/>
        </w:rPr>
        <w:t xml:space="preserve"> operation – </w:t>
      </w:r>
      <w:r w:rsidR="00EA4516" w:rsidRPr="00390B8E">
        <w:rPr>
          <w:rFonts w:asciiTheme="minorHAnsi" w:hAnsiTheme="minorHAnsi" w:cstheme="minorHAnsi"/>
          <w:color w:val="000000" w:themeColor="text1"/>
        </w:rPr>
        <w:t>so that</w:t>
      </w:r>
      <w:r w:rsidR="001F51AF" w:rsidRPr="00390B8E">
        <w:rPr>
          <w:rFonts w:asciiTheme="minorHAnsi" w:hAnsiTheme="minorHAnsi" w:cstheme="minorHAnsi"/>
          <w:color w:val="000000" w:themeColor="text1"/>
        </w:rPr>
        <w:t xml:space="preserve"> operators </w:t>
      </w:r>
      <w:r w:rsidR="00EA4516" w:rsidRPr="00390B8E">
        <w:rPr>
          <w:rFonts w:asciiTheme="minorHAnsi" w:hAnsiTheme="minorHAnsi" w:cstheme="minorHAnsi"/>
          <w:color w:val="000000" w:themeColor="text1"/>
        </w:rPr>
        <w:t>are able to seek value from other markets,</w:t>
      </w:r>
      <w:r w:rsidR="007A1B25" w:rsidRPr="00390B8E">
        <w:rPr>
          <w:rFonts w:asciiTheme="minorHAnsi" w:hAnsiTheme="minorHAnsi" w:cstheme="minorHAnsi"/>
          <w:color w:val="000000" w:themeColor="text1"/>
        </w:rPr>
        <w:t xml:space="preserve"> within boundaries that also support the distribution network.</w:t>
      </w:r>
    </w:p>
    <w:p w14:paraId="70B4C1DB" w14:textId="15D3778E" w:rsidR="0039105E" w:rsidRPr="00390B8E" w:rsidRDefault="007009D5" w:rsidP="00BA3962">
      <w:pPr>
        <w:pStyle w:val="BodytextRPCbeforebullets"/>
        <w:rPr>
          <w:color w:val="000000" w:themeColor="text1"/>
          <w:szCs w:val="22"/>
        </w:rPr>
      </w:pPr>
      <w:r w:rsidRPr="00390B8E">
        <w:rPr>
          <w:rFonts w:asciiTheme="minorHAnsi" w:hAnsiTheme="minorHAnsi" w:cstheme="minorHAnsi"/>
          <w:color w:val="000000" w:themeColor="text1"/>
        </w:rPr>
        <w:t>We support a consistent approach between networks.</w:t>
      </w:r>
      <w:r w:rsidRPr="00390B8E">
        <w:rPr>
          <w:color w:val="000000" w:themeColor="text1"/>
          <w:szCs w:val="22"/>
        </w:rPr>
        <w:t xml:space="preserve"> </w:t>
      </w:r>
      <w:r w:rsidR="0039105E" w:rsidRPr="00390B8E">
        <w:rPr>
          <w:noProof/>
          <w:color w:val="000000" w:themeColor="text1"/>
        </w:rPr>
        <mc:AlternateContent>
          <mc:Choice Requires="wps">
            <w:drawing>
              <wp:anchor distT="0" distB="0" distL="114300" distR="114300" simplePos="0" relativeHeight="251676685" behindDoc="0" locked="0" layoutInCell="1" allowOverlap="1" wp14:anchorId="6CE0B2BD" wp14:editId="0335EBA2">
                <wp:simplePos x="0" y="0"/>
                <wp:positionH relativeFrom="column">
                  <wp:posOffset>0</wp:posOffset>
                </wp:positionH>
                <wp:positionV relativeFrom="paragraph">
                  <wp:posOffset>329565</wp:posOffset>
                </wp:positionV>
                <wp:extent cx="5278120" cy="1828800"/>
                <wp:effectExtent l="0" t="0" r="17780" b="12065"/>
                <wp:wrapSquare wrapText="bothSides"/>
                <wp:docPr id="19" name="Text Box 19"/>
                <wp:cNvGraphicFramePr/>
                <a:graphic xmlns:a="http://schemas.openxmlformats.org/drawingml/2006/main">
                  <a:graphicData uri="http://schemas.microsoft.com/office/word/2010/wordprocessingShape">
                    <wps:wsp>
                      <wps:cNvSpPr txBox="1"/>
                      <wps:spPr>
                        <a:xfrm>
                          <a:off x="0" y="0"/>
                          <a:ext cx="5278120" cy="1828800"/>
                        </a:xfrm>
                        <a:prstGeom prst="rect">
                          <a:avLst/>
                        </a:prstGeom>
                        <a:noFill/>
                        <a:ln w="6350">
                          <a:solidFill>
                            <a:prstClr val="black"/>
                          </a:solidFill>
                        </a:ln>
                      </wps:spPr>
                      <wps:txbx>
                        <w:txbxContent>
                          <w:p w14:paraId="3710D678" w14:textId="77777777" w:rsidR="000655E0" w:rsidRDefault="000655E0" w:rsidP="0039105E">
                            <w:pPr>
                              <w:pStyle w:val="BodytextRPC"/>
                              <w:shd w:val="clear" w:color="auto" w:fill="000000" w:themeFill="text1"/>
                            </w:pPr>
                            <w:r>
                              <w:t>Key points</w:t>
                            </w:r>
                          </w:p>
                          <w:p w14:paraId="1C0092B0" w14:textId="2BF91F6E" w:rsidR="000655E0" w:rsidRDefault="000655E0" w:rsidP="0039105E">
                            <w:pPr>
                              <w:pStyle w:val="BodytextRPC"/>
                              <w:numPr>
                                <w:ilvl w:val="0"/>
                                <w:numId w:val="31"/>
                              </w:numPr>
                            </w:pPr>
                            <w:r>
                              <w:t>We support the assignment of the new TOU tariff to legacy TOU customers with consistent optionality to the other classes (in this case opt-out).</w:t>
                            </w:r>
                          </w:p>
                          <w:p w14:paraId="5BCBCDE8" w14:textId="20B8E634" w:rsidR="000655E0" w:rsidRDefault="000655E0" w:rsidP="0039105E">
                            <w:pPr>
                              <w:pStyle w:val="BodytextRPC"/>
                              <w:numPr>
                                <w:ilvl w:val="0"/>
                                <w:numId w:val="31"/>
                              </w:numPr>
                            </w:pPr>
                            <w:r>
                              <w:t>We are concerned about the ongoing trend towards higher fixed charges, without a quantitative understanding of the relationship between consumption patterns (especially volume) and vulnerable consumers of all kinds (including but not limited to hardship customers).</w:t>
                            </w:r>
                          </w:p>
                          <w:p w14:paraId="2B0F49B9" w14:textId="56EF88AD" w:rsidR="000655E0" w:rsidRDefault="000655E0" w:rsidP="0039105E">
                            <w:pPr>
                              <w:pStyle w:val="BodytextRPC"/>
                              <w:numPr>
                                <w:ilvl w:val="0"/>
                                <w:numId w:val="31"/>
                              </w:numPr>
                            </w:pPr>
                            <w:r>
                              <w:t xml:space="preserve">We support the introduction of a framework that supports grid-scale batteries to be deployed, and for their costs and benefits to be fully and fairly evaluated against other available solutions to network constraints. The AER’s proposed Option 2 and Option 4 have the potential to provide this, for early installations.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CE0B2BD" id="Text Box 19" o:spid="_x0000_s1038" type="#_x0000_t202" style="position:absolute;margin-left:0;margin-top:25.95pt;width:415.6pt;height:2in;z-index:2516766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" filled="f" strokeweight=".5pt">
                <v:textbox style="mso-fit-shape-to-text:t">
                  <w:txbxContent>
                    <w:p w14:paraId="3710D678" w14:textId="77777777" w:rsidR="000655E0" w:rsidRDefault="000655E0" w:rsidP="0039105E">
                      <w:pPr>
                        <w:pStyle w:val="BodytextRPC"/>
                        <w:shd w:val="clear" w:color="auto" w:fill="000000" w:themeFill="text1"/>
                      </w:pPr>
                      <w:r>
                        <w:t>Key points</w:t>
                      </w:r>
                    </w:p>
                    <w:p w14:paraId="1C0092B0" w14:textId="2BF91F6E" w:rsidR="000655E0" w:rsidRDefault="000655E0" w:rsidP="0039105E">
                      <w:pPr>
                        <w:pStyle w:val="BodytextRPC"/>
                        <w:numPr>
                          <w:ilvl w:val="0"/>
                          <w:numId w:val="31"/>
                        </w:numPr>
                      </w:pPr>
                      <w:r>
                        <w:t>We support the assignment of the new TOU tariff to legacy TOU customers with consistent optionality to the other classes (in this case opt-out).</w:t>
                      </w:r>
                    </w:p>
                    <w:p w14:paraId="5BCBCDE8" w14:textId="20B8E634" w:rsidR="000655E0" w:rsidRDefault="000655E0" w:rsidP="0039105E">
                      <w:pPr>
                        <w:pStyle w:val="BodytextRPC"/>
                        <w:numPr>
                          <w:ilvl w:val="0"/>
                          <w:numId w:val="31"/>
                        </w:numPr>
                      </w:pPr>
                      <w:r>
                        <w:t>We are concerned about the ongoing trend towards higher fixed charges, without a quantitative understanding of the relationship between consumption patterns (especially volume) and vulnerable consumers of all kinds (including but not limited to hardship customers).</w:t>
                      </w:r>
                    </w:p>
                    <w:p w14:paraId="2B0F49B9" w14:textId="56EF88AD" w:rsidR="000655E0" w:rsidRDefault="000655E0" w:rsidP="0039105E">
                      <w:pPr>
                        <w:pStyle w:val="BodytextRPC"/>
                        <w:numPr>
                          <w:ilvl w:val="0"/>
                          <w:numId w:val="31"/>
                        </w:numPr>
                      </w:pPr>
                      <w:r>
                        <w:t xml:space="preserve">We support the introduction of a framework that supports grid-scale batteries to be deployed, and for their costs and benefits to be fully and fairly evaluated against other available solutions to network constraints. The AER’s proposed Option 2 and Option 4 have the potential to provide this, for early installations. </w:t>
                      </w:r>
                    </w:p>
                  </w:txbxContent>
                </v:textbox>
                <w10:wrap type="square"/>
              </v:shape>
            </w:pict>
          </mc:Fallback>
        </mc:AlternateContent>
      </w:r>
    </w:p>
    <w:p w14:paraId="335ABCC9" w14:textId="7EB0751A" w:rsidR="0039105E" w:rsidRPr="00390B8E" w:rsidRDefault="0039105E" w:rsidP="00EA4516">
      <w:pPr>
        <w:rPr>
          <w:color w:val="000000" w:themeColor="text1"/>
          <w:sz w:val="22"/>
          <w:szCs w:val="22"/>
        </w:rPr>
      </w:pPr>
    </w:p>
    <w:p w14:paraId="48E6ADDC" w14:textId="77777777" w:rsidR="00C8296E" w:rsidRDefault="00C8296E">
      <w:pPr>
        <w:rPr>
          <w:rFonts w:asciiTheme="minorHAnsi" w:eastAsia="Calibri" w:hAnsiTheme="minorHAnsi" w:cstheme="minorHAnsi"/>
          <w:b/>
          <w:color w:val="31849B" w:themeColor="accent5" w:themeShade="BF"/>
          <w:sz w:val="36"/>
          <w:szCs w:val="32"/>
          <w:lang w:eastAsia="en-US"/>
        </w:rPr>
      </w:pPr>
      <w:r>
        <w:rPr>
          <w:rFonts w:asciiTheme="minorHAnsi" w:hAnsiTheme="minorHAnsi" w:cstheme="minorHAnsi"/>
        </w:rPr>
        <w:br w:type="page"/>
      </w:r>
    </w:p>
    <w:p w14:paraId="724E29BC" w14:textId="756F463E" w:rsidR="00F4556F" w:rsidRPr="00390B8E" w:rsidRDefault="00F4556F" w:rsidP="00A464A5">
      <w:pPr>
        <w:pStyle w:val="Heading1"/>
        <w:numPr>
          <w:ilvl w:val="0"/>
          <w:numId w:val="11"/>
        </w:numPr>
        <w:rPr>
          <w:rFonts w:asciiTheme="minorHAnsi" w:hAnsiTheme="minorHAnsi" w:cstheme="minorHAnsi"/>
        </w:rPr>
      </w:pPr>
      <w:bookmarkStart w:id="62" w:name="_Toc61341309"/>
      <w:r w:rsidRPr="00390B8E">
        <w:rPr>
          <w:rFonts w:asciiTheme="minorHAnsi" w:hAnsiTheme="minorHAnsi" w:cstheme="minorHAnsi"/>
        </w:rPr>
        <w:lastRenderedPageBreak/>
        <w:t>References</w:t>
      </w:r>
      <w:bookmarkEnd w:id="57"/>
      <w:bookmarkEnd w:id="62"/>
    </w:p>
    <w:p w14:paraId="1D8F1BE5" w14:textId="162DEBA6" w:rsidR="00854DD4" w:rsidRPr="00390B8E" w:rsidRDefault="00854DD4" w:rsidP="00F4556F">
      <w:pPr>
        <w:pStyle w:val="EndnoteText"/>
        <w:jc w:val="left"/>
        <w:rPr>
          <w:rFonts w:asciiTheme="minorHAnsi" w:hAnsiTheme="minorHAnsi" w:cstheme="minorHAnsi"/>
          <w:color w:val="000000" w:themeColor="text1"/>
          <w:lang w:val="en-AU"/>
        </w:rPr>
      </w:pPr>
    </w:p>
    <w:p w14:paraId="2B9DAF43" w14:textId="4A60185A" w:rsidR="007D2259" w:rsidRPr="00390B8E" w:rsidRDefault="00B46557" w:rsidP="00484D47">
      <w:pPr>
        <w:pStyle w:val="EndnoteText"/>
        <w:jc w:val="left"/>
        <w:rPr>
          <w:rFonts w:asciiTheme="minorHAnsi" w:hAnsiTheme="minorHAnsi" w:cstheme="minorHAnsi"/>
          <w:color w:val="000000" w:themeColor="text1"/>
        </w:rPr>
      </w:pPr>
      <w:r w:rsidRPr="00390B8E">
        <w:rPr>
          <w:rFonts w:asciiTheme="minorHAnsi" w:hAnsiTheme="minorHAnsi" w:cstheme="minorHAnsi"/>
          <w:color w:val="000000" w:themeColor="text1"/>
        </w:rPr>
        <w:t>AusNet</w:t>
      </w:r>
      <w:r w:rsidR="007D2259" w:rsidRPr="00390B8E">
        <w:rPr>
          <w:rFonts w:asciiTheme="minorHAnsi" w:hAnsiTheme="minorHAnsi" w:cstheme="minorHAnsi"/>
          <w:color w:val="000000" w:themeColor="text1"/>
        </w:rPr>
        <w:t xml:space="preserve"> Services, 2020, Revised Regulatory Proposal EDPR 2022-26, accessed 19 December 2020, https://www.aer.gov.au/networks-pipelines/determinations-access-arrangements/</w:t>
      </w:r>
      <w:r w:rsidRPr="00390B8E">
        <w:rPr>
          <w:rFonts w:asciiTheme="minorHAnsi" w:hAnsiTheme="minorHAnsi" w:cstheme="minorHAnsi"/>
          <w:color w:val="000000" w:themeColor="text1"/>
        </w:rPr>
        <w:t>AusNet</w:t>
      </w:r>
      <w:r w:rsidR="007D2259" w:rsidRPr="00390B8E">
        <w:rPr>
          <w:rFonts w:asciiTheme="minorHAnsi" w:hAnsiTheme="minorHAnsi" w:cstheme="minorHAnsi"/>
          <w:color w:val="000000" w:themeColor="text1"/>
        </w:rPr>
        <w:t>-services-determination-2021-26/proposal</w:t>
      </w:r>
    </w:p>
    <w:p w14:paraId="12800E69" w14:textId="77777777" w:rsidR="007D2259" w:rsidRPr="00390B8E" w:rsidRDefault="007D2259" w:rsidP="00484D47">
      <w:pPr>
        <w:pStyle w:val="EndnoteText"/>
        <w:jc w:val="left"/>
        <w:rPr>
          <w:rFonts w:asciiTheme="minorHAnsi" w:hAnsiTheme="minorHAnsi" w:cstheme="minorHAnsi"/>
          <w:color w:val="000000" w:themeColor="text1"/>
        </w:rPr>
      </w:pPr>
    </w:p>
    <w:p w14:paraId="68F484DD" w14:textId="25473CC6" w:rsidR="00484D47" w:rsidRPr="00390B8E" w:rsidRDefault="00484D47" w:rsidP="00484D47">
      <w:pPr>
        <w:pStyle w:val="EndnoteText"/>
        <w:jc w:val="left"/>
        <w:rPr>
          <w:rFonts w:asciiTheme="minorHAnsi" w:hAnsiTheme="minorHAnsi" w:cstheme="minorHAnsi"/>
          <w:color w:val="000000" w:themeColor="text1"/>
        </w:rPr>
      </w:pPr>
      <w:r w:rsidRPr="00390B8E">
        <w:rPr>
          <w:rFonts w:asciiTheme="minorHAnsi" w:hAnsiTheme="minorHAnsi" w:cstheme="minorHAnsi"/>
          <w:color w:val="000000" w:themeColor="text1"/>
        </w:rPr>
        <w:t xml:space="preserve">Australian </w:t>
      </w:r>
      <w:r w:rsidR="005B065E">
        <w:rPr>
          <w:rFonts w:asciiTheme="minorHAnsi" w:hAnsiTheme="minorHAnsi" w:cstheme="minorHAnsi"/>
          <w:color w:val="000000" w:themeColor="text1"/>
        </w:rPr>
        <w:t>Council</w:t>
      </w:r>
      <w:r w:rsidRPr="00390B8E">
        <w:rPr>
          <w:rFonts w:asciiTheme="minorHAnsi" w:hAnsiTheme="minorHAnsi" w:cstheme="minorHAnsi"/>
          <w:color w:val="000000" w:themeColor="text1"/>
        </w:rPr>
        <w:t xml:space="preserve"> of Social Service, 2020, COVID shines light on failure of energy system for people experiencing disadvantage, accessed 8 December 2020</w:t>
      </w:r>
      <w:r w:rsidR="005806D0" w:rsidRPr="00390B8E">
        <w:rPr>
          <w:rFonts w:asciiTheme="minorHAnsi" w:hAnsiTheme="minorHAnsi" w:cstheme="minorHAnsi"/>
          <w:color w:val="000000" w:themeColor="text1"/>
        </w:rPr>
        <w:t xml:space="preserve"> </w:t>
      </w:r>
      <w:hyperlink r:id="rId25" w:history="1">
        <w:r w:rsidR="005806D0" w:rsidRPr="00390B8E">
          <w:rPr>
            <w:rStyle w:val="Hyperlink"/>
            <w:rFonts w:asciiTheme="minorHAnsi" w:hAnsiTheme="minorHAnsi" w:cstheme="minorHAnsi"/>
            <w:color w:val="000000" w:themeColor="text1"/>
          </w:rPr>
          <w:t>https://www.acoss.org.au/media_release/covid-shines-light-on-failure-of-energy-system-for-people-experiencing-disadvantage/</w:t>
        </w:r>
      </w:hyperlink>
    </w:p>
    <w:p w14:paraId="4FF2150D" w14:textId="69621B46" w:rsidR="00024587" w:rsidRPr="00390B8E" w:rsidRDefault="00024587" w:rsidP="00484D47">
      <w:pPr>
        <w:pStyle w:val="EndnoteText"/>
        <w:jc w:val="left"/>
        <w:rPr>
          <w:rFonts w:asciiTheme="minorHAnsi" w:hAnsiTheme="minorHAnsi" w:cstheme="minorHAnsi"/>
          <w:color w:val="000000" w:themeColor="text1"/>
        </w:rPr>
      </w:pPr>
    </w:p>
    <w:p w14:paraId="3D7CF3B1" w14:textId="77777777" w:rsidR="00024587" w:rsidRPr="00390B8E" w:rsidRDefault="00024587" w:rsidP="00024587">
      <w:pPr>
        <w:rPr>
          <w:rFonts w:asciiTheme="minorHAnsi" w:eastAsia="Calibri" w:hAnsiTheme="minorHAnsi" w:cstheme="minorHAnsi"/>
          <w:color w:val="000000" w:themeColor="text1"/>
          <w:sz w:val="20"/>
          <w:szCs w:val="20"/>
          <w:lang w:val="en-US" w:eastAsia="en-US" w:bidi="en-US"/>
        </w:rPr>
      </w:pPr>
      <w:r w:rsidRPr="00390B8E">
        <w:rPr>
          <w:rFonts w:asciiTheme="minorHAnsi" w:eastAsia="Calibri" w:hAnsiTheme="minorHAnsi" w:cstheme="minorHAnsi"/>
          <w:color w:val="000000" w:themeColor="text1"/>
          <w:sz w:val="20"/>
          <w:szCs w:val="20"/>
          <w:lang w:val="en-US" w:eastAsia="en-US" w:bidi="en-US"/>
        </w:rPr>
        <w:t xml:space="preserve">Australian Council of Social Service &amp; Brotherhood of St Laurence 2018, Energy stressed in Australia, ACOSS, viewed 2 September 2019, </w:t>
      </w:r>
      <w:hyperlink r:id="rId26" w:history="1">
        <w:r w:rsidRPr="00390B8E">
          <w:rPr>
            <w:rFonts w:asciiTheme="minorHAnsi" w:eastAsia="Calibri" w:hAnsiTheme="minorHAnsi" w:cstheme="minorHAnsi"/>
            <w:color w:val="000000" w:themeColor="text1"/>
            <w:sz w:val="20"/>
            <w:szCs w:val="20"/>
            <w:lang w:val="en-US" w:eastAsia="en-US" w:bidi="en-US"/>
          </w:rPr>
          <w:t>http://library.bsl.org.au/jspui/bitstream/1/10896/4/ACOSS_BSL_Energy_stressed_in_Australia_Oct2018.pdf</w:t>
        </w:r>
      </w:hyperlink>
    </w:p>
    <w:p w14:paraId="7D9DA27E" w14:textId="77777777" w:rsidR="00024587" w:rsidRPr="00390B8E" w:rsidRDefault="00024587" w:rsidP="00024587">
      <w:pPr>
        <w:pStyle w:val="FootnoteText"/>
        <w:rPr>
          <w:rFonts w:asciiTheme="minorHAnsi" w:eastAsia="Calibri" w:hAnsiTheme="minorHAnsi" w:cstheme="minorHAnsi"/>
          <w:color w:val="000000" w:themeColor="text1"/>
          <w:lang w:val="en-US" w:bidi="en-US"/>
        </w:rPr>
      </w:pPr>
    </w:p>
    <w:p w14:paraId="236FA9C5" w14:textId="4730BD48" w:rsidR="00024587" w:rsidRPr="00390B8E" w:rsidRDefault="00024587" w:rsidP="00024587">
      <w:pPr>
        <w:pStyle w:val="FootnoteText"/>
        <w:rPr>
          <w:rFonts w:asciiTheme="minorHAnsi" w:eastAsia="Calibri" w:hAnsiTheme="minorHAnsi" w:cstheme="minorHAnsi"/>
          <w:color w:val="000000" w:themeColor="text1"/>
          <w:lang w:val="en-US" w:bidi="en-US"/>
        </w:rPr>
      </w:pPr>
      <w:r w:rsidRPr="00390B8E">
        <w:rPr>
          <w:rFonts w:asciiTheme="minorHAnsi" w:eastAsia="Calibri" w:hAnsiTheme="minorHAnsi" w:cstheme="minorHAnsi"/>
          <w:color w:val="000000" w:themeColor="text1"/>
          <w:lang w:val="en-US" w:bidi="en-US"/>
        </w:rPr>
        <w:t xml:space="preserve">Australian Council of Social Service, 2019, ‘I regularly don’t eat at all’: Trying to get by on Newstart, accessed 1 March 2020, </w:t>
      </w:r>
      <w:hyperlink r:id="rId27" w:history="1">
        <w:r w:rsidR="005B3EEA" w:rsidRPr="00390B8E">
          <w:rPr>
            <w:rFonts w:asciiTheme="minorHAnsi" w:eastAsia="Calibri" w:hAnsiTheme="minorHAnsi" w:cstheme="minorHAnsi"/>
            <w:color w:val="000000" w:themeColor="text1"/>
            <w:lang w:val="en-US" w:bidi="en-US"/>
          </w:rPr>
          <w:t>https://www.acoss.org.au/wp-content/uploads/2019/07/190729-Survey-of-people-on-Newstart-and-Youth- Allowance.pdf</w:t>
        </w:r>
      </w:hyperlink>
    </w:p>
    <w:p w14:paraId="6B391037" w14:textId="33DA5A8F" w:rsidR="005B3EEA" w:rsidRPr="00390B8E" w:rsidRDefault="005B3EEA" w:rsidP="00024587">
      <w:pPr>
        <w:pStyle w:val="FootnoteText"/>
        <w:rPr>
          <w:rFonts w:asciiTheme="minorHAnsi" w:eastAsia="Calibri" w:hAnsiTheme="minorHAnsi" w:cstheme="minorHAnsi"/>
          <w:color w:val="000000" w:themeColor="text1"/>
          <w:lang w:val="en-US" w:bidi="en-US"/>
        </w:rPr>
      </w:pPr>
    </w:p>
    <w:p w14:paraId="1C1D224D" w14:textId="23E9BD29" w:rsidR="005B3EEA" w:rsidRPr="00390B8E" w:rsidRDefault="005B3EEA" w:rsidP="005B3EEA">
      <w:pPr>
        <w:pStyle w:val="FootnoteText"/>
        <w:rPr>
          <w:rFonts w:asciiTheme="minorHAnsi" w:eastAsia="Calibri" w:hAnsiTheme="minorHAnsi" w:cstheme="minorHAnsi"/>
          <w:color w:val="000000" w:themeColor="text1"/>
          <w:lang w:val="en-US" w:bidi="en-US"/>
        </w:rPr>
      </w:pPr>
      <w:r w:rsidRPr="00390B8E">
        <w:rPr>
          <w:rFonts w:asciiTheme="minorHAnsi" w:eastAsia="Calibri" w:hAnsiTheme="minorHAnsi" w:cstheme="minorHAnsi"/>
          <w:color w:val="000000" w:themeColor="text1"/>
          <w:lang w:val="en-US" w:bidi="en-US"/>
        </w:rPr>
        <w:t xml:space="preserve">Australian Energy Regulator, 2020, Powercor Distribution Determination 2021 to 2026 Attachment 5 Capital Expenditure, accessed 29 December, https://www.aer.gov.au/networks-pipelines/determinations-access-arrangements/powercor-determination-2021-26 </w:t>
      </w:r>
    </w:p>
    <w:p w14:paraId="5AD0ECE6" w14:textId="77777777" w:rsidR="005B3EEA" w:rsidRPr="00390B8E" w:rsidRDefault="005B3EEA" w:rsidP="00024587">
      <w:pPr>
        <w:pStyle w:val="FootnoteText"/>
        <w:rPr>
          <w:rFonts w:asciiTheme="minorHAnsi" w:eastAsia="Calibri" w:hAnsiTheme="minorHAnsi" w:cstheme="minorHAnsi"/>
          <w:color w:val="000000" w:themeColor="text1"/>
          <w:lang w:val="en-US" w:bidi="en-US"/>
        </w:rPr>
      </w:pPr>
    </w:p>
    <w:p w14:paraId="7BD002DB" w14:textId="77777777" w:rsidR="00484D47" w:rsidRPr="00390B8E" w:rsidRDefault="00484D47" w:rsidP="00484D47">
      <w:pPr>
        <w:pStyle w:val="FootnoteText"/>
        <w:rPr>
          <w:rFonts w:asciiTheme="minorHAnsi" w:eastAsia="Calibri" w:hAnsiTheme="minorHAnsi" w:cstheme="minorHAnsi"/>
          <w:color w:val="000000" w:themeColor="text1"/>
          <w:lang w:val="en-US" w:bidi="en-US"/>
        </w:rPr>
      </w:pPr>
    </w:p>
    <w:p w14:paraId="23E8FE0F" w14:textId="799DA387" w:rsidR="00484D47" w:rsidRPr="00390B8E" w:rsidRDefault="00484D47" w:rsidP="00484D47">
      <w:pPr>
        <w:pStyle w:val="FootnoteText"/>
        <w:rPr>
          <w:rFonts w:asciiTheme="minorHAnsi" w:eastAsia="Calibri" w:hAnsiTheme="minorHAnsi" w:cstheme="minorHAnsi"/>
          <w:color w:val="000000" w:themeColor="text1"/>
          <w:lang w:val="en-US" w:bidi="en-US"/>
        </w:rPr>
      </w:pPr>
      <w:r w:rsidRPr="00390B8E">
        <w:rPr>
          <w:rFonts w:asciiTheme="minorHAnsi" w:eastAsia="Calibri" w:hAnsiTheme="minorHAnsi" w:cstheme="minorHAnsi"/>
          <w:color w:val="000000" w:themeColor="text1"/>
          <w:lang w:val="en-US" w:bidi="en-US"/>
        </w:rPr>
        <w:t xml:space="preserve">Consumer Action Law Centre, 2020, Bills Here Bills There The Lived Experience of Victorian Energy Reform, accessed 8 December 2020, </w:t>
      </w:r>
      <w:hyperlink r:id="rId28" w:history="1">
        <w:r w:rsidRPr="00390B8E">
          <w:rPr>
            <w:rFonts w:asciiTheme="minorHAnsi" w:eastAsia="Calibri" w:hAnsiTheme="minorHAnsi" w:cstheme="minorHAnsi"/>
            <w:color w:val="000000" w:themeColor="text1"/>
            <w:lang w:val="en-US" w:bidi="en-US"/>
          </w:rPr>
          <w:t>https://consumeraction.org.au/bills-here-bills-there-report-on-the-lived-experience-of-victorian-energy-reform/</w:t>
        </w:r>
      </w:hyperlink>
    </w:p>
    <w:bookmarkEnd w:id="6"/>
    <w:bookmarkEnd w:id="7"/>
    <w:p w14:paraId="57D51636" w14:textId="77777777" w:rsidR="00024587" w:rsidRPr="00390B8E" w:rsidRDefault="00024587" w:rsidP="00024587">
      <w:pPr>
        <w:pStyle w:val="FootnoteText"/>
        <w:rPr>
          <w:rFonts w:asciiTheme="minorHAnsi" w:eastAsia="Calibri" w:hAnsiTheme="minorHAnsi" w:cstheme="minorHAnsi"/>
          <w:color w:val="000000" w:themeColor="text1"/>
          <w:lang w:val="en-US" w:bidi="en-US"/>
        </w:rPr>
      </w:pPr>
    </w:p>
    <w:p w14:paraId="77377CA6" w14:textId="164BC518" w:rsidR="00024587" w:rsidRPr="00390B8E" w:rsidRDefault="00024587" w:rsidP="00024587">
      <w:pPr>
        <w:pStyle w:val="FootnoteText"/>
        <w:rPr>
          <w:rFonts w:asciiTheme="minorHAnsi" w:eastAsia="Calibri" w:hAnsiTheme="minorHAnsi" w:cstheme="minorHAnsi"/>
          <w:color w:val="000000" w:themeColor="text1"/>
          <w:lang w:val="en-US" w:bidi="en-US"/>
        </w:rPr>
      </w:pPr>
      <w:r w:rsidRPr="00390B8E">
        <w:rPr>
          <w:rFonts w:asciiTheme="minorHAnsi" w:eastAsia="Calibri" w:hAnsiTheme="minorHAnsi" w:cstheme="minorHAnsi"/>
          <w:color w:val="000000" w:themeColor="text1"/>
          <w:lang w:val="en-US" w:bidi="en-US"/>
        </w:rPr>
        <w:t xml:space="preserve">Consumer Action Law Centre, 2019, Energy Assistance Report, accessed 1 March 2020 </w:t>
      </w:r>
      <w:hyperlink r:id="rId29" w:history="1">
        <w:r w:rsidRPr="00390B8E">
          <w:rPr>
            <w:rFonts w:asciiTheme="minorHAnsi" w:eastAsia="Calibri" w:hAnsiTheme="minorHAnsi" w:cstheme="minorHAnsi"/>
            <w:color w:val="000000" w:themeColor="text1"/>
            <w:lang w:val="en-US" w:bidi="en-US"/>
          </w:rPr>
          <w:t>https://consumeraction.org.au/wp-content/uploads/2019/07/190620_Energy-Assistance-Report_FINAL_WEB.pdf</w:t>
        </w:r>
      </w:hyperlink>
    </w:p>
    <w:p w14:paraId="73D4F671" w14:textId="4BFF4D41" w:rsidR="00C4318B" w:rsidRPr="00390B8E" w:rsidRDefault="00C4318B" w:rsidP="00024587">
      <w:pPr>
        <w:pStyle w:val="FootnoteText"/>
        <w:rPr>
          <w:rFonts w:asciiTheme="minorHAnsi" w:eastAsia="Calibri" w:hAnsiTheme="minorHAnsi" w:cstheme="minorHAnsi"/>
          <w:color w:val="000000" w:themeColor="text1"/>
          <w:lang w:val="en-US" w:bidi="en-US"/>
        </w:rPr>
      </w:pPr>
    </w:p>
    <w:p w14:paraId="1C43885D" w14:textId="6D5DEFC2" w:rsidR="00C4318B" w:rsidRPr="00390B8E" w:rsidRDefault="00C4318B" w:rsidP="00390B8E">
      <w:pPr>
        <w:rPr>
          <w:rFonts w:asciiTheme="minorHAnsi" w:hAnsiTheme="minorHAnsi" w:cstheme="minorHAnsi"/>
          <w:color w:val="000000" w:themeColor="text1"/>
          <w:sz w:val="20"/>
          <w:szCs w:val="20"/>
          <w:lang w:eastAsia="en-US"/>
        </w:rPr>
      </w:pPr>
      <w:r w:rsidRPr="00390B8E">
        <w:rPr>
          <w:rFonts w:asciiTheme="minorHAnsi" w:hAnsiTheme="minorHAnsi" w:cstheme="minorHAnsi"/>
          <w:color w:val="000000" w:themeColor="text1"/>
          <w:sz w:val="20"/>
          <w:szCs w:val="20"/>
          <w:lang w:eastAsia="en-US"/>
        </w:rPr>
        <w:t xml:space="preserve">CSIRO and Cutler Merz, 2020, </w:t>
      </w:r>
      <w:r w:rsidRPr="00390B8E">
        <w:rPr>
          <w:rFonts w:asciiTheme="minorHAnsi" w:hAnsiTheme="minorHAnsi" w:cstheme="minorHAnsi"/>
          <w:i/>
          <w:iCs/>
          <w:color w:val="000000" w:themeColor="text1"/>
          <w:sz w:val="20"/>
          <w:szCs w:val="20"/>
          <w:lang w:eastAsia="en-US"/>
        </w:rPr>
        <w:t>Value of Distributed Energy Resources Report</w:t>
      </w:r>
    </w:p>
    <w:p w14:paraId="36A5127F" w14:textId="0201BF14" w:rsidR="00024587" w:rsidRPr="00390B8E" w:rsidRDefault="00024587" w:rsidP="00024587">
      <w:pPr>
        <w:pStyle w:val="FootnoteText"/>
        <w:rPr>
          <w:rFonts w:asciiTheme="minorHAnsi" w:eastAsia="Calibri" w:hAnsiTheme="minorHAnsi" w:cstheme="minorHAnsi"/>
          <w:color w:val="000000" w:themeColor="text1"/>
          <w:lang w:val="en-US" w:bidi="en-US"/>
        </w:rPr>
      </w:pPr>
    </w:p>
    <w:p w14:paraId="759DE336" w14:textId="77777777" w:rsidR="00C4318B" w:rsidRPr="00390B8E" w:rsidRDefault="00C4318B" w:rsidP="00C4318B">
      <w:pPr>
        <w:rPr>
          <w:rFonts w:asciiTheme="minorHAnsi" w:hAnsiTheme="minorHAnsi" w:cstheme="minorHAnsi"/>
          <w:color w:val="000000" w:themeColor="text1"/>
          <w:sz w:val="20"/>
          <w:szCs w:val="20"/>
        </w:rPr>
      </w:pPr>
      <w:r w:rsidRPr="00390B8E">
        <w:rPr>
          <w:rFonts w:asciiTheme="minorHAnsi" w:hAnsiTheme="minorHAnsi" w:cstheme="minorHAnsi"/>
          <w:color w:val="000000" w:themeColor="text1"/>
          <w:sz w:val="20"/>
          <w:szCs w:val="20"/>
        </w:rPr>
        <w:t xml:space="preserve">Economic Insights, 2020, </w:t>
      </w:r>
      <w:r w:rsidRPr="00390B8E">
        <w:rPr>
          <w:rFonts w:asciiTheme="minorHAnsi" w:hAnsiTheme="minorHAnsi" w:cstheme="minorHAnsi"/>
          <w:i/>
          <w:iCs/>
          <w:color w:val="000000" w:themeColor="text1"/>
          <w:sz w:val="20"/>
          <w:szCs w:val="20"/>
        </w:rPr>
        <w:t>Economic Benchmarking Results for the Australian Energy Regulator’s</w:t>
      </w:r>
      <w:r w:rsidRPr="00390B8E">
        <w:rPr>
          <w:rFonts w:asciiTheme="minorHAnsi" w:hAnsiTheme="minorHAnsi" w:cstheme="minorHAnsi"/>
          <w:i/>
          <w:iCs/>
          <w:color w:val="000000" w:themeColor="text1"/>
          <w:sz w:val="20"/>
          <w:szCs w:val="20"/>
        </w:rPr>
        <w:br/>
        <w:t>2019 DNSP Annual Benchmarking Report</w:t>
      </w:r>
      <w:r w:rsidRPr="00390B8E">
        <w:rPr>
          <w:rFonts w:asciiTheme="minorHAnsi" w:hAnsiTheme="minorHAnsi" w:cstheme="minorHAnsi"/>
          <w:color w:val="000000" w:themeColor="text1"/>
          <w:sz w:val="20"/>
          <w:szCs w:val="20"/>
        </w:rPr>
        <w:t xml:space="preserve">, accessed 1 December 2020, </w:t>
      </w:r>
      <w:hyperlink r:id="rId30" w:history="1">
        <w:r w:rsidRPr="00390B8E">
          <w:rPr>
            <w:rStyle w:val="Hyperlink"/>
            <w:rFonts w:asciiTheme="minorHAnsi" w:hAnsiTheme="minorHAnsi" w:cstheme="minorHAnsi"/>
            <w:color w:val="000000" w:themeColor="text1"/>
            <w:sz w:val="20"/>
            <w:szCs w:val="20"/>
          </w:rPr>
          <w:t>https://www.aer.gov.au/system/files/D19-190817%20Economic%20Insights%20AER%20DNSP%20Benchmarking%20Report%20-%20October%202019.PDF</w:t>
        </w:r>
      </w:hyperlink>
    </w:p>
    <w:p w14:paraId="187029A8" w14:textId="77777777" w:rsidR="00C4318B" w:rsidRPr="00390B8E" w:rsidRDefault="00C4318B" w:rsidP="00024587">
      <w:pPr>
        <w:pStyle w:val="FootnoteText"/>
        <w:rPr>
          <w:rFonts w:asciiTheme="minorHAnsi" w:eastAsia="Calibri" w:hAnsiTheme="minorHAnsi" w:cstheme="minorHAnsi"/>
          <w:color w:val="000000" w:themeColor="text1"/>
          <w:lang w:val="en-US" w:bidi="en-US"/>
        </w:rPr>
      </w:pPr>
    </w:p>
    <w:p w14:paraId="2E2FAA1D" w14:textId="1F4E72AA" w:rsidR="00C4318B" w:rsidRPr="00390B8E" w:rsidRDefault="00C4318B" w:rsidP="00C4318B">
      <w:pPr>
        <w:pStyle w:val="FootnoteText"/>
        <w:rPr>
          <w:rFonts w:asciiTheme="minorHAnsi" w:hAnsiTheme="minorHAnsi" w:cstheme="minorHAnsi"/>
          <w:color w:val="000000" w:themeColor="text1"/>
        </w:rPr>
      </w:pPr>
      <w:r w:rsidRPr="00390B8E">
        <w:rPr>
          <w:rFonts w:asciiTheme="minorHAnsi" w:hAnsiTheme="minorHAnsi" w:cstheme="minorHAnsi"/>
          <w:color w:val="000000" w:themeColor="text1"/>
        </w:rPr>
        <w:t xml:space="preserve">Energy Networks Australia, 2016, </w:t>
      </w:r>
      <w:r w:rsidRPr="00390B8E">
        <w:rPr>
          <w:rFonts w:asciiTheme="minorHAnsi" w:hAnsiTheme="minorHAnsi" w:cstheme="minorHAnsi"/>
          <w:i/>
          <w:iCs/>
          <w:color w:val="000000" w:themeColor="text1"/>
        </w:rPr>
        <w:t>Customer Engagement Handbook,</w:t>
      </w:r>
      <w:r w:rsidRPr="00390B8E">
        <w:rPr>
          <w:rFonts w:asciiTheme="minorHAnsi" w:hAnsiTheme="minorHAnsi" w:cstheme="minorHAnsi"/>
          <w:color w:val="000000" w:themeColor="text1"/>
        </w:rPr>
        <w:t xml:space="preserve"> Accessed 1 December, https://www.energynetworks.com.au/assets/uploads/customer_engagement_handbook_engagement_draft_april_2016.pdf</w:t>
      </w:r>
    </w:p>
    <w:p w14:paraId="5BE8E3E2" w14:textId="77777777" w:rsidR="00C4318B" w:rsidRPr="00390B8E" w:rsidRDefault="00C4318B" w:rsidP="00024587">
      <w:pPr>
        <w:pStyle w:val="FootnoteText"/>
        <w:rPr>
          <w:rFonts w:asciiTheme="minorHAnsi" w:eastAsia="Calibri" w:hAnsiTheme="minorHAnsi" w:cstheme="minorHAnsi"/>
          <w:color w:val="000000" w:themeColor="text1"/>
          <w:lang w:val="en-US" w:bidi="en-US"/>
        </w:rPr>
      </w:pPr>
    </w:p>
    <w:p w14:paraId="180C148C" w14:textId="21FAD0F9" w:rsidR="007D2259" w:rsidRPr="00390B8E" w:rsidRDefault="007D2259" w:rsidP="00024587">
      <w:pPr>
        <w:pStyle w:val="FootnoteText"/>
        <w:rPr>
          <w:rFonts w:asciiTheme="minorHAnsi" w:eastAsia="Calibri" w:hAnsiTheme="minorHAnsi" w:cstheme="minorHAnsi"/>
          <w:color w:val="000000" w:themeColor="text1"/>
          <w:lang w:val="en-US" w:bidi="en-US"/>
        </w:rPr>
      </w:pPr>
      <w:r w:rsidRPr="00390B8E">
        <w:rPr>
          <w:rFonts w:asciiTheme="minorHAnsi" w:eastAsia="Calibri" w:hAnsiTheme="minorHAnsi" w:cstheme="minorHAnsi"/>
          <w:color w:val="000000" w:themeColor="text1"/>
          <w:lang w:val="en-US" w:bidi="en-US"/>
        </w:rPr>
        <w:t xml:space="preserve">Essential Services Commission, 2020, Coronavirus financial hardship continues to hit Victoria, accessed 29 December, </w:t>
      </w:r>
      <w:hyperlink r:id="rId31" w:history="1">
        <w:r w:rsidR="008D749C" w:rsidRPr="00390B8E">
          <w:rPr>
            <w:rFonts w:asciiTheme="minorHAnsi" w:eastAsia="Calibri" w:hAnsiTheme="minorHAnsi" w:cstheme="minorHAnsi"/>
            <w:color w:val="000000" w:themeColor="text1"/>
            <w:lang w:val="en-US" w:bidi="en-US"/>
          </w:rPr>
          <w:t>https://www.esc.vic.gov.au/media-centre/coronavirus-financial-hardship-continues-hit-victoria</w:t>
        </w:r>
      </w:hyperlink>
    </w:p>
    <w:p w14:paraId="2DBA5DCF" w14:textId="4320E83F" w:rsidR="007D2259" w:rsidRPr="00390B8E" w:rsidRDefault="001615CE" w:rsidP="00024587">
      <w:pPr>
        <w:pStyle w:val="FootnoteText"/>
        <w:rPr>
          <w:rFonts w:asciiTheme="minorHAnsi" w:eastAsia="Calibri" w:hAnsiTheme="minorHAnsi" w:cstheme="minorHAnsi"/>
          <w:color w:val="000000" w:themeColor="text1"/>
          <w:lang w:val="en-US" w:bidi="en-US"/>
        </w:rPr>
      </w:pPr>
      <w:r w:rsidRPr="00390B8E">
        <w:rPr>
          <w:rFonts w:asciiTheme="minorHAnsi" w:eastAsia="Calibri" w:hAnsiTheme="minorHAnsi" w:cstheme="minorHAnsi"/>
          <w:color w:val="000000" w:themeColor="text1"/>
          <w:lang w:val="en-US" w:bidi="en-US"/>
        </w:rPr>
        <w:t xml:space="preserve">   </w:t>
      </w:r>
    </w:p>
    <w:p w14:paraId="41893C3B" w14:textId="60A9D2BB" w:rsidR="008D749C" w:rsidRPr="00390B8E" w:rsidRDefault="000A3BD5" w:rsidP="000A3BD5">
      <w:pPr>
        <w:rPr>
          <w:rFonts w:asciiTheme="minorHAnsi" w:eastAsia="Calibri" w:hAnsiTheme="minorHAnsi" w:cstheme="minorHAnsi"/>
          <w:color w:val="000000" w:themeColor="text1"/>
          <w:sz w:val="20"/>
          <w:szCs w:val="20"/>
          <w:lang w:val="en-US" w:eastAsia="en-US" w:bidi="en-US"/>
        </w:rPr>
      </w:pPr>
      <w:r w:rsidRPr="00390B8E">
        <w:rPr>
          <w:rFonts w:asciiTheme="minorHAnsi" w:eastAsia="Calibri" w:hAnsiTheme="minorHAnsi" w:cstheme="minorHAnsi"/>
          <w:color w:val="000000" w:themeColor="text1"/>
          <w:sz w:val="20"/>
          <w:szCs w:val="20"/>
          <w:lang w:val="en-US" w:eastAsia="en-US" w:bidi="en-US"/>
        </w:rPr>
        <w:t xml:space="preserve">Harrison, Ursula et al, 2020, Setbacks at 30: Life Chances and COVID-19, Brotherhood of St Laurence, accessed 29 December 2020, </w:t>
      </w:r>
      <w:hyperlink r:id="rId32" w:history="1">
        <w:r w:rsidR="008D749C" w:rsidRPr="00390B8E">
          <w:rPr>
            <w:rFonts w:asciiTheme="minorHAnsi" w:eastAsia="Calibri" w:hAnsiTheme="minorHAnsi" w:cstheme="minorHAnsi"/>
            <w:color w:val="000000" w:themeColor="text1"/>
            <w:sz w:val="20"/>
            <w:szCs w:val="20"/>
            <w:lang w:val="en-US" w:eastAsia="en-US" w:bidi="en-US"/>
          </w:rPr>
          <w:t>http://library.bsl.org.au/jspui/bitstream/1/12354/1/BSL_COVID-19_Insights_Setbacks_at_30_LifeChances_Dec2020.pdf</w:t>
        </w:r>
      </w:hyperlink>
    </w:p>
    <w:p w14:paraId="3F5DB4CA" w14:textId="465F71C5" w:rsidR="008D749C" w:rsidRPr="00390B8E" w:rsidRDefault="008D749C" w:rsidP="008D749C">
      <w:pPr>
        <w:pStyle w:val="FootnoteText"/>
        <w:tabs>
          <w:tab w:val="left" w:pos="284"/>
        </w:tabs>
        <w:rPr>
          <w:rFonts w:asciiTheme="minorHAnsi" w:eastAsia="Calibri" w:hAnsiTheme="minorHAnsi" w:cstheme="minorHAnsi"/>
          <w:color w:val="000000" w:themeColor="text1"/>
          <w:lang w:val="en-US" w:bidi="en-US"/>
        </w:rPr>
      </w:pPr>
      <w:r w:rsidRPr="00390B8E">
        <w:rPr>
          <w:rFonts w:asciiTheme="minorHAnsi" w:eastAsia="Calibri" w:hAnsiTheme="minorHAnsi" w:cstheme="minorHAnsi"/>
          <w:color w:val="000000" w:themeColor="text1"/>
          <w:lang w:val="en-US" w:bidi="en-US"/>
        </w:rPr>
        <w:lastRenderedPageBreak/>
        <w:t xml:space="preserve">Minister for Population, Cities and Urban Infrastructure, December 2020, </w:t>
      </w:r>
      <w:proofErr w:type="gramStart"/>
      <w:r w:rsidRPr="00390B8E">
        <w:rPr>
          <w:rFonts w:asciiTheme="minorHAnsi" w:eastAsia="Calibri" w:hAnsiTheme="minorHAnsi" w:cstheme="minorHAnsi"/>
          <w:color w:val="000000" w:themeColor="text1"/>
          <w:lang w:val="en-US" w:bidi="en-US"/>
        </w:rPr>
        <w:t>First</w:t>
      </w:r>
      <w:proofErr w:type="gramEnd"/>
      <w:r w:rsidRPr="00390B8E">
        <w:rPr>
          <w:rFonts w:asciiTheme="minorHAnsi" w:eastAsia="Calibri" w:hAnsiTheme="minorHAnsi" w:cstheme="minorHAnsi"/>
          <w:color w:val="000000" w:themeColor="text1"/>
          <w:lang w:val="en-US" w:bidi="en-US"/>
        </w:rPr>
        <w:t xml:space="preserve"> annual population statement released today, accessed 29 December, </w:t>
      </w:r>
      <w:hyperlink r:id="rId33" w:history="1">
        <w:r w:rsidRPr="00390B8E">
          <w:rPr>
            <w:rFonts w:asciiTheme="minorHAnsi" w:eastAsia="Calibri" w:hAnsiTheme="minorHAnsi" w:cstheme="minorHAnsi"/>
            <w:color w:val="000000" w:themeColor="text1"/>
            <w:lang w:val="en-US" w:bidi="en-US"/>
          </w:rPr>
          <w:t>https://minister.infrastructure.gov.au/tudge/media-release/first-annual-population-statement-released-today</w:t>
        </w:r>
      </w:hyperlink>
    </w:p>
    <w:p w14:paraId="569C5B65" w14:textId="476B20CF" w:rsidR="00C4318B" w:rsidRPr="00390B8E" w:rsidRDefault="00C4318B" w:rsidP="008D749C">
      <w:pPr>
        <w:pStyle w:val="FootnoteText"/>
        <w:tabs>
          <w:tab w:val="left" w:pos="284"/>
        </w:tabs>
        <w:rPr>
          <w:rFonts w:asciiTheme="minorHAnsi" w:eastAsia="Calibri" w:hAnsiTheme="minorHAnsi" w:cstheme="minorHAnsi"/>
          <w:color w:val="000000" w:themeColor="text1"/>
          <w:lang w:val="en-US" w:bidi="en-US"/>
        </w:rPr>
      </w:pPr>
    </w:p>
    <w:p w14:paraId="08F97B9B" w14:textId="77777777" w:rsidR="00C4318B" w:rsidRPr="00390B8E" w:rsidRDefault="00C4318B" w:rsidP="00C4318B">
      <w:pPr>
        <w:pStyle w:val="FootnoteText"/>
        <w:rPr>
          <w:rFonts w:asciiTheme="minorHAnsi" w:hAnsiTheme="minorHAnsi" w:cstheme="minorHAnsi"/>
          <w:color w:val="000000" w:themeColor="text1"/>
        </w:rPr>
      </w:pPr>
      <w:r w:rsidRPr="00390B8E">
        <w:rPr>
          <w:rFonts w:asciiTheme="minorHAnsi" w:hAnsiTheme="minorHAnsi" w:cstheme="minorHAnsi"/>
          <w:color w:val="000000" w:themeColor="text1"/>
        </w:rPr>
        <w:t xml:space="preserve">Jemena, 2020, </w:t>
      </w:r>
      <w:r w:rsidRPr="00390B8E">
        <w:rPr>
          <w:rFonts w:asciiTheme="minorHAnsi" w:hAnsiTheme="minorHAnsi" w:cstheme="minorHAnsi"/>
          <w:i/>
          <w:iCs/>
          <w:color w:val="000000" w:themeColor="text1"/>
        </w:rPr>
        <w:t xml:space="preserve">2021-2026 EDPR Revised proposal Attachment 4, Capital Expenditure, </w:t>
      </w:r>
      <w:r w:rsidRPr="00390B8E">
        <w:rPr>
          <w:rFonts w:asciiTheme="minorHAnsi" w:hAnsiTheme="minorHAnsi" w:cstheme="minorHAnsi"/>
          <w:color w:val="000000" w:themeColor="text1"/>
        </w:rPr>
        <w:t>accessed 1 December 2020, https://www.aer.gov.au/networks-pipelines/determinations-access-arrangements/jemena-determination-2021-26</w:t>
      </w:r>
    </w:p>
    <w:p w14:paraId="73D68D59" w14:textId="5119DBE5" w:rsidR="00C4318B" w:rsidRPr="00390B8E" w:rsidRDefault="00C4318B" w:rsidP="008D749C">
      <w:pPr>
        <w:pStyle w:val="FootnoteText"/>
        <w:tabs>
          <w:tab w:val="left" w:pos="284"/>
        </w:tabs>
        <w:rPr>
          <w:rFonts w:asciiTheme="minorHAnsi" w:eastAsia="Calibri" w:hAnsiTheme="minorHAnsi" w:cstheme="minorHAnsi"/>
          <w:color w:val="000000" w:themeColor="text1"/>
          <w:lang w:val="en-US" w:bidi="en-US"/>
        </w:rPr>
      </w:pPr>
    </w:p>
    <w:p w14:paraId="235544AD" w14:textId="77777777" w:rsidR="00C4318B" w:rsidRPr="00390B8E" w:rsidRDefault="00C4318B" w:rsidP="00C4318B">
      <w:pPr>
        <w:pStyle w:val="FootnoteText"/>
        <w:rPr>
          <w:rFonts w:asciiTheme="minorHAnsi" w:hAnsiTheme="minorHAnsi" w:cstheme="minorHAnsi"/>
          <w:color w:val="000000" w:themeColor="text1"/>
        </w:rPr>
      </w:pPr>
      <w:r w:rsidRPr="00390B8E">
        <w:rPr>
          <w:rFonts w:asciiTheme="minorHAnsi" w:hAnsiTheme="minorHAnsi" w:cstheme="minorHAnsi"/>
          <w:color w:val="000000" w:themeColor="text1"/>
        </w:rPr>
        <w:t xml:space="preserve">Jemena, 2020, </w:t>
      </w:r>
      <w:r w:rsidRPr="00390B8E">
        <w:rPr>
          <w:rFonts w:asciiTheme="minorHAnsi" w:hAnsiTheme="minorHAnsi" w:cstheme="minorHAnsi"/>
          <w:i/>
          <w:iCs/>
          <w:color w:val="000000" w:themeColor="text1"/>
        </w:rPr>
        <w:t xml:space="preserve">2021-2026 EDPR Revised proposal Attachment 5, Operating Expenditure, </w:t>
      </w:r>
      <w:r w:rsidRPr="00390B8E">
        <w:rPr>
          <w:rFonts w:asciiTheme="minorHAnsi" w:hAnsiTheme="minorHAnsi" w:cstheme="minorHAnsi"/>
          <w:color w:val="000000" w:themeColor="text1"/>
        </w:rPr>
        <w:t>accessed 1 December 2020, https://www.aer.gov.au/networks-pipelines/determinations-access-arrangements/jemena-determination-2021-26</w:t>
      </w:r>
    </w:p>
    <w:p w14:paraId="487F66CD" w14:textId="77777777" w:rsidR="008D749C" w:rsidRPr="00390B8E" w:rsidRDefault="008D749C" w:rsidP="008D749C">
      <w:pPr>
        <w:pStyle w:val="FootnoteText"/>
        <w:tabs>
          <w:tab w:val="left" w:pos="284"/>
        </w:tabs>
        <w:rPr>
          <w:rFonts w:asciiTheme="minorHAnsi" w:eastAsia="Calibri" w:hAnsiTheme="minorHAnsi" w:cstheme="minorHAnsi"/>
          <w:color w:val="000000" w:themeColor="text1"/>
          <w:lang w:val="en-US" w:bidi="en-US"/>
        </w:rPr>
      </w:pPr>
    </w:p>
    <w:p w14:paraId="290B0A44" w14:textId="77777777" w:rsidR="00C4318B" w:rsidRPr="00390B8E" w:rsidRDefault="00C4318B" w:rsidP="00C4318B">
      <w:pPr>
        <w:rPr>
          <w:rFonts w:asciiTheme="minorHAnsi" w:hAnsiTheme="minorHAnsi" w:cstheme="minorHAnsi"/>
          <w:color w:val="000000" w:themeColor="text1"/>
          <w:sz w:val="20"/>
          <w:szCs w:val="20"/>
        </w:rPr>
      </w:pPr>
    </w:p>
    <w:p w14:paraId="2795A2A7" w14:textId="77777777" w:rsidR="00C4318B" w:rsidRPr="00390B8E" w:rsidRDefault="00C4318B" w:rsidP="00C4318B">
      <w:pPr>
        <w:rPr>
          <w:rFonts w:asciiTheme="minorHAnsi" w:hAnsiTheme="minorHAnsi" w:cstheme="minorHAnsi"/>
          <w:color w:val="000000" w:themeColor="text1"/>
          <w:sz w:val="20"/>
          <w:szCs w:val="20"/>
        </w:rPr>
      </w:pPr>
      <w:r w:rsidRPr="00390B8E">
        <w:rPr>
          <w:rFonts w:asciiTheme="minorHAnsi" w:hAnsiTheme="minorHAnsi" w:cstheme="minorHAnsi"/>
          <w:color w:val="000000" w:themeColor="text1"/>
          <w:sz w:val="20"/>
          <w:szCs w:val="20"/>
        </w:rPr>
        <w:t xml:space="preserve">Major Energy Users Association, 2020, Presentation to AER Public Forum, accessed 1 December, </w:t>
      </w:r>
      <w:hyperlink r:id="rId34" w:history="1">
        <w:r w:rsidRPr="00390B8E">
          <w:rPr>
            <w:rStyle w:val="Hyperlink"/>
            <w:rFonts w:asciiTheme="minorHAnsi" w:hAnsiTheme="minorHAnsi" w:cstheme="minorHAnsi"/>
            <w:color w:val="000000" w:themeColor="text1"/>
            <w:sz w:val="20"/>
            <w:szCs w:val="20"/>
          </w:rPr>
          <w:t>https://www.aer.gov.au/system/files/EUAA%20-Presentation%20%20-%20Predetermination%20conference%20-%20Victorian%20Electricity%20Distributor%20Determination%202021-26%20-%2015%20October%202020_3.pdf</w:t>
        </w:r>
      </w:hyperlink>
    </w:p>
    <w:p w14:paraId="6EF0DAE9" w14:textId="77777777" w:rsidR="00C4318B" w:rsidRPr="00390B8E" w:rsidRDefault="00C4318B" w:rsidP="008D749C">
      <w:pPr>
        <w:rPr>
          <w:rFonts w:asciiTheme="minorHAnsi" w:eastAsia="Calibri" w:hAnsiTheme="minorHAnsi" w:cstheme="minorHAnsi"/>
          <w:color w:val="000000" w:themeColor="text1"/>
          <w:sz w:val="20"/>
          <w:szCs w:val="20"/>
          <w:lang w:val="en-US" w:eastAsia="en-US" w:bidi="en-US"/>
        </w:rPr>
      </w:pPr>
    </w:p>
    <w:p w14:paraId="08ED6D6C" w14:textId="7DE5AB7D" w:rsidR="008D749C" w:rsidRPr="00390B8E" w:rsidRDefault="008D749C" w:rsidP="008D749C">
      <w:pPr>
        <w:rPr>
          <w:rFonts w:asciiTheme="minorHAnsi" w:eastAsia="Calibri" w:hAnsiTheme="minorHAnsi" w:cstheme="minorHAnsi"/>
          <w:color w:val="000000" w:themeColor="text1"/>
          <w:sz w:val="20"/>
          <w:szCs w:val="20"/>
          <w:lang w:val="en-US" w:eastAsia="en-US" w:bidi="en-US"/>
        </w:rPr>
      </w:pPr>
      <w:r w:rsidRPr="00390B8E">
        <w:rPr>
          <w:rFonts w:asciiTheme="minorHAnsi" w:eastAsia="Calibri" w:hAnsiTheme="minorHAnsi" w:cstheme="minorHAnsi"/>
          <w:color w:val="000000" w:themeColor="text1"/>
          <w:sz w:val="20"/>
          <w:szCs w:val="20"/>
          <w:lang w:val="en-US" w:eastAsia="en-US" w:bidi="en-US"/>
        </w:rPr>
        <w:t>Minister for Population, Cities and Urban Infrastructure, December 2020, New Projections for Australia’s Future Fertility Rate, Federal Government’s Centre for Population, accessed 29 December 2020, https://minister.infrastructure.gov.au/tudge/media-release/new-projections-australias-10-year-fertility-rate </w:t>
      </w:r>
    </w:p>
    <w:p w14:paraId="51806EC9" w14:textId="0411697C" w:rsidR="008D749C" w:rsidRPr="00390B8E" w:rsidRDefault="008D749C" w:rsidP="000A3BD5">
      <w:pPr>
        <w:rPr>
          <w:rFonts w:asciiTheme="minorHAnsi" w:eastAsia="Calibri" w:hAnsiTheme="minorHAnsi" w:cstheme="minorHAnsi"/>
          <w:color w:val="000000" w:themeColor="text1"/>
          <w:sz w:val="20"/>
          <w:szCs w:val="20"/>
          <w:lang w:val="en-US" w:eastAsia="en-US" w:bidi="en-US"/>
        </w:rPr>
      </w:pPr>
    </w:p>
    <w:p w14:paraId="582279F9" w14:textId="77777777" w:rsidR="00C4318B" w:rsidRPr="00390B8E" w:rsidRDefault="00C4318B" w:rsidP="00C4318B">
      <w:pPr>
        <w:rPr>
          <w:rFonts w:asciiTheme="minorHAnsi" w:hAnsiTheme="minorHAnsi" w:cstheme="minorHAnsi"/>
          <w:color w:val="000000" w:themeColor="text1"/>
          <w:sz w:val="20"/>
          <w:szCs w:val="20"/>
        </w:rPr>
      </w:pPr>
      <w:proofErr w:type="spellStart"/>
      <w:r w:rsidRPr="00390B8E">
        <w:rPr>
          <w:rFonts w:asciiTheme="minorHAnsi" w:hAnsiTheme="minorHAnsi" w:cstheme="minorHAnsi"/>
          <w:color w:val="000000" w:themeColor="text1"/>
          <w:sz w:val="20"/>
          <w:szCs w:val="20"/>
        </w:rPr>
        <w:t>Powercor</w:t>
      </w:r>
      <w:proofErr w:type="spellEnd"/>
      <w:r w:rsidRPr="00390B8E">
        <w:rPr>
          <w:rFonts w:asciiTheme="minorHAnsi" w:hAnsiTheme="minorHAnsi" w:cstheme="minorHAnsi"/>
          <w:color w:val="000000" w:themeColor="text1"/>
          <w:sz w:val="20"/>
          <w:szCs w:val="20"/>
        </w:rPr>
        <w:t xml:space="preserve">, 2020, </w:t>
      </w:r>
      <w:r w:rsidRPr="00390B8E">
        <w:rPr>
          <w:rFonts w:asciiTheme="minorHAnsi" w:hAnsiTheme="minorHAnsi" w:cstheme="minorHAnsi"/>
          <w:i/>
          <w:iCs/>
          <w:color w:val="000000" w:themeColor="text1"/>
          <w:sz w:val="20"/>
          <w:szCs w:val="20"/>
        </w:rPr>
        <w:t>Revised Proposal 2021 – 2026</w:t>
      </w:r>
      <w:r w:rsidRPr="00390B8E">
        <w:rPr>
          <w:rFonts w:asciiTheme="minorHAnsi" w:hAnsiTheme="minorHAnsi" w:cstheme="minorHAnsi"/>
          <w:color w:val="000000" w:themeColor="text1"/>
          <w:sz w:val="20"/>
          <w:szCs w:val="20"/>
        </w:rPr>
        <w:t xml:space="preserve"> , accessed 1 December 2020, https://www.aer.gov.au/networks-pipelines/determinations-access-arrangements/powercor-determination-2021-26</w:t>
      </w:r>
      <w:r w:rsidRPr="00390B8E">
        <w:rPr>
          <w:rFonts w:asciiTheme="minorHAnsi" w:hAnsiTheme="minorHAnsi" w:cstheme="minorHAnsi"/>
          <w:color w:val="000000" w:themeColor="text1"/>
          <w:sz w:val="20"/>
          <w:szCs w:val="20"/>
        </w:rPr>
        <w:tab/>
      </w:r>
    </w:p>
    <w:p w14:paraId="2B086CB3" w14:textId="7D3EE0C5" w:rsidR="00C4318B" w:rsidRPr="00390B8E" w:rsidRDefault="00C4318B" w:rsidP="000A3BD5">
      <w:pPr>
        <w:rPr>
          <w:rFonts w:asciiTheme="minorHAnsi" w:eastAsia="Calibri" w:hAnsiTheme="minorHAnsi" w:cstheme="minorHAnsi"/>
          <w:color w:val="000000" w:themeColor="text1"/>
          <w:sz w:val="20"/>
          <w:szCs w:val="20"/>
          <w:lang w:val="en-US" w:eastAsia="en-US" w:bidi="en-US"/>
        </w:rPr>
      </w:pPr>
    </w:p>
    <w:p w14:paraId="28CDBAA6" w14:textId="77777777" w:rsidR="00C4318B" w:rsidRPr="00390B8E" w:rsidRDefault="00C4318B" w:rsidP="00C4318B">
      <w:pPr>
        <w:rPr>
          <w:color w:val="000000" w:themeColor="text1"/>
        </w:rPr>
      </w:pPr>
    </w:p>
    <w:p w14:paraId="7041EC49" w14:textId="123B62EF" w:rsidR="00C4318B" w:rsidRPr="00390B8E" w:rsidRDefault="00C4318B" w:rsidP="000A3BD5">
      <w:pPr>
        <w:rPr>
          <w:rFonts w:asciiTheme="minorHAnsi" w:eastAsia="Calibri" w:hAnsiTheme="minorHAnsi" w:cstheme="minorHAnsi"/>
          <w:color w:val="000000" w:themeColor="text1"/>
          <w:sz w:val="20"/>
          <w:szCs w:val="20"/>
          <w:lang w:val="en-US" w:eastAsia="en-US" w:bidi="en-US"/>
        </w:rPr>
      </w:pPr>
    </w:p>
    <w:p w14:paraId="47D3D952" w14:textId="2544EAD8" w:rsidR="00C4318B" w:rsidRPr="00390B8E" w:rsidRDefault="00C4318B" w:rsidP="000A3BD5">
      <w:pPr>
        <w:rPr>
          <w:rFonts w:asciiTheme="minorHAnsi" w:hAnsiTheme="minorHAnsi" w:cstheme="minorHAnsi"/>
          <w:color w:val="000000" w:themeColor="text1"/>
          <w:sz w:val="18"/>
          <w:szCs w:val="18"/>
        </w:rPr>
      </w:pPr>
    </w:p>
    <w:p w14:paraId="7AA3675C" w14:textId="77777777" w:rsidR="00C4318B" w:rsidRPr="00390B8E" w:rsidRDefault="00C4318B" w:rsidP="00C4318B">
      <w:pPr>
        <w:rPr>
          <w:rFonts w:asciiTheme="minorHAnsi" w:hAnsiTheme="minorHAnsi" w:cstheme="minorHAnsi"/>
          <w:color w:val="000000" w:themeColor="text1"/>
          <w:sz w:val="18"/>
          <w:szCs w:val="18"/>
        </w:rPr>
      </w:pPr>
    </w:p>
    <w:p w14:paraId="7C66CEE0" w14:textId="3203A9A8" w:rsidR="00C4318B" w:rsidRPr="00390B8E" w:rsidRDefault="00C4318B" w:rsidP="00C4318B">
      <w:pPr>
        <w:rPr>
          <w:rFonts w:asciiTheme="minorHAnsi" w:hAnsiTheme="minorHAnsi" w:cstheme="minorHAnsi"/>
          <w:color w:val="000000" w:themeColor="text1"/>
          <w:sz w:val="18"/>
          <w:szCs w:val="18"/>
        </w:rPr>
      </w:pPr>
    </w:p>
    <w:p w14:paraId="4D567682" w14:textId="2F1CE967" w:rsidR="00C4318B" w:rsidRPr="00390B8E" w:rsidRDefault="00C4318B" w:rsidP="00C4318B">
      <w:pPr>
        <w:rPr>
          <w:rFonts w:asciiTheme="minorHAnsi" w:hAnsiTheme="minorHAnsi" w:cstheme="minorHAnsi"/>
          <w:color w:val="000000" w:themeColor="text1"/>
          <w:sz w:val="18"/>
          <w:szCs w:val="18"/>
        </w:rPr>
      </w:pPr>
    </w:p>
    <w:p w14:paraId="0332EB30" w14:textId="26220D7B" w:rsidR="00C4318B" w:rsidRPr="00390B8E" w:rsidRDefault="00C4318B" w:rsidP="00390B8E">
      <w:pPr>
        <w:pStyle w:val="FootnoteText"/>
        <w:rPr>
          <w:rFonts w:asciiTheme="minorHAnsi" w:eastAsia="Calibri" w:hAnsiTheme="minorHAnsi" w:cstheme="minorHAnsi"/>
          <w:color w:val="000000" w:themeColor="text1"/>
          <w:lang w:val="en-US" w:bidi="en-US"/>
        </w:rPr>
      </w:pPr>
    </w:p>
    <w:sectPr w:rsidR="00C4318B" w:rsidRPr="00390B8E" w:rsidSect="00EA4516">
      <w:headerReference w:type="default" r:id="rId35"/>
      <w:footerReference w:type="default" r:id="rId36"/>
      <w:pgSz w:w="11907" w:h="16840" w:code="9"/>
      <w:pgMar w:top="1701" w:right="1701" w:bottom="1701" w:left="226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684A0" w14:textId="77777777" w:rsidR="001772E8" w:rsidRDefault="001772E8" w:rsidP="00C043DB">
      <w:r>
        <w:separator/>
      </w:r>
    </w:p>
    <w:p w14:paraId="006ACE43" w14:textId="77777777" w:rsidR="001772E8" w:rsidRDefault="001772E8"/>
    <w:p w14:paraId="1C77958B" w14:textId="77777777" w:rsidR="001772E8" w:rsidRDefault="001772E8"/>
  </w:endnote>
  <w:endnote w:type="continuationSeparator" w:id="0">
    <w:p w14:paraId="3E1B77F5" w14:textId="77777777" w:rsidR="001772E8" w:rsidRDefault="001772E8" w:rsidP="00C043DB">
      <w:r>
        <w:continuationSeparator/>
      </w:r>
    </w:p>
    <w:p w14:paraId="3ED5D77F" w14:textId="77777777" w:rsidR="001772E8" w:rsidRDefault="001772E8"/>
    <w:p w14:paraId="2CB8EB12" w14:textId="77777777" w:rsidR="001772E8" w:rsidRDefault="001772E8"/>
  </w:endnote>
  <w:endnote w:type="continuationNotice" w:id="1">
    <w:p w14:paraId="32A0E34C" w14:textId="77777777" w:rsidR="001772E8" w:rsidRDefault="00177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Helvetica Neue">
    <w:altName w:val="﷽﷽﷽﷽﷽﷽﷽﷽a Neue"/>
    <w:panose1 w:val="02000503000000020004"/>
    <w:charset w:val="00"/>
    <w:family w:val="auto"/>
    <w:pitch w:val="variable"/>
    <w:sig w:usb0="E50002FF" w:usb1="500079DB" w:usb2="00000010" w:usb3="00000000" w:csb0="00000001" w:csb1="00000000"/>
  </w:font>
  <w:font w:name="QCJQQV+HelveticaNeue">
    <w:altName w:val="Calibri"/>
    <w:panose1 w:val="020B0604020202020204"/>
    <w:charset w:val="00"/>
    <w:family w:val="swiss"/>
    <w:pitch w:val="default"/>
    <w:sig w:usb0="00000003" w:usb1="00000000" w:usb2="00000000" w:usb3="00000000" w:csb0="00000001" w:csb1="00000000"/>
  </w:font>
  <w:font w:name="Gotham Light">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9EF6E" w14:textId="77777777" w:rsidR="000655E0" w:rsidRPr="00F37171" w:rsidRDefault="000655E0" w:rsidP="00CE4354">
    <w:pPr>
      <w:pStyle w:val="Footerevenpage"/>
      <w:jc w:val="right"/>
      <w:rPr>
        <w:rFonts w:ascii="Calibri Light" w:hAnsi="Calibri Light"/>
      </w:rPr>
    </w:pPr>
    <w:r w:rsidRPr="00F37171">
      <w:rPr>
        <w:rFonts w:ascii="Calibri Light" w:hAnsi="Calibri Light"/>
      </w:rPr>
      <w:fldChar w:fldCharType="begin"/>
    </w:r>
    <w:r w:rsidRPr="00F37171">
      <w:rPr>
        <w:rFonts w:ascii="Calibri Light" w:hAnsi="Calibri Light"/>
      </w:rPr>
      <w:instrText xml:space="preserve"> PAGE   \* MERGEFORMAT </w:instrText>
    </w:r>
    <w:r w:rsidRPr="00F37171">
      <w:rPr>
        <w:rFonts w:ascii="Calibri Light" w:hAnsi="Calibri Light"/>
      </w:rPr>
      <w:fldChar w:fldCharType="separate"/>
    </w:r>
    <w:r>
      <w:rPr>
        <w:rFonts w:ascii="Calibri Light" w:hAnsi="Calibri Light"/>
        <w:noProof/>
      </w:rPr>
      <w:t>3</w:t>
    </w:r>
    <w:r w:rsidRPr="00F37171">
      <w:rPr>
        <w:rFonts w:ascii="Calibri Light" w:hAnsi="Calibri Ligh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3E832" w14:textId="77777777" w:rsidR="000655E0" w:rsidRPr="00F37171" w:rsidRDefault="000655E0" w:rsidP="00E520A9">
    <w:pPr>
      <w:pStyle w:val="Footerevenpage"/>
    </w:pPr>
    <w:r>
      <w:fldChar w:fldCharType="begin"/>
    </w:r>
    <w:r>
      <w:instrText xml:space="preserve"> PAGE   \* MERGEFORMAT </w:instrText>
    </w:r>
    <w:r>
      <w:fldChar w:fldCharType="separate"/>
    </w:r>
    <w:r>
      <w:rPr>
        <w:noProof/>
      </w:rPr>
      <w:t>20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F4072" w14:textId="77777777" w:rsidR="000655E0" w:rsidRDefault="000655E0" w:rsidP="008E67B7">
    <w:pPr>
      <w:pStyle w:val="Footeroddpage"/>
    </w:pPr>
    <w:r>
      <w:fldChar w:fldCharType="begin"/>
    </w:r>
    <w:r>
      <w:instrText xml:space="preserve"> PAGE   \* MERGEFORMAT </w:instrText>
    </w:r>
    <w:r>
      <w:fldChar w:fldCharType="separate"/>
    </w:r>
    <w:r>
      <w:rPr>
        <w:noProof/>
      </w:rPr>
      <w:t>21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AC54E" w14:textId="543F0C34" w:rsidR="000655E0" w:rsidRDefault="000655E0" w:rsidP="00E520A9">
    <w:pPr>
      <w:pStyle w:val="Footerodd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4CD04" w14:textId="77777777" w:rsidR="000655E0" w:rsidRPr="00350C05" w:rsidRDefault="000655E0" w:rsidP="00323861">
    <w:pPr>
      <w:pStyle w:val="Footer"/>
      <w:jc w:val="right"/>
    </w:pPr>
    <w:r w:rsidRPr="00350C05">
      <w:rPr>
        <w:rFonts w:cs="Arial"/>
        <w:b/>
        <w:color w:val="7F7F7F"/>
        <w:spacing w:val="60"/>
        <w:sz w:val="24"/>
        <w:szCs w:val="24"/>
      </w:rPr>
      <w:t>Page</w:t>
    </w:r>
    <w:r w:rsidRPr="00350C05">
      <w:rPr>
        <w:rFonts w:cs="Arial"/>
        <w:b/>
        <w:sz w:val="24"/>
        <w:szCs w:val="24"/>
      </w:rPr>
      <w:t xml:space="preserve"> | </w:t>
    </w:r>
    <w:r w:rsidRPr="00350C05">
      <w:rPr>
        <w:rFonts w:cs="Arial"/>
        <w:b/>
        <w:sz w:val="24"/>
        <w:szCs w:val="24"/>
      </w:rPr>
      <w:fldChar w:fldCharType="begin"/>
    </w:r>
    <w:r w:rsidRPr="00350C05">
      <w:rPr>
        <w:rFonts w:cs="Arial"/>
        <w:b/>
        <w:sz w:val="24"/>
        <w:szCs w:val="24"/>
      </w:rPr>
      <w:instrText xml:space="preserve"> PAGE   \* MERGEFORMAT </w:instrText>
    </w:r>
    <w:r w:rsidRPr="00350C05">
      <w:rPr>
        <w:rFonts w:cs="Arial"/>
        <w:b/>
        <w:sz w:val="24"/>
        <w:szCs w:val="24"/>
      </w:rPr>
      <w:fldChar w:fldCharType="separate"/>
    </w:r>
    <w:r>
      <w:rPr>
        <w:rFonts w:cs="Arial"/>
        <w:b/>
        <w:noProof/>
        <w:sz w:val="24"/>
        <w:szCs w:val="24"/>
      </w:rPr>
      <w:t>15</w:t>
    </w:r>
    <w:r w:rsidRPr="00350C05">
      <w:rPr>
        <w:rFonts w:cs="Arial"/>
        <w:b/>
        <w:sz w:val="24"/>
        <w:szCs w:val="24"/>
      </w:rPr>
      <w:fldChar w:fldCharType="end"/>
    </w:r>
  </w:p>
  <w:p w14:paraId="2659E267" w14:textId="77777777" w:rsidR="000655E0" w:rsidRDefault="00065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57255" w14:textId="77777777" w:rsidR="001772E8" w:rsidRDefault="001772E8" w:rsidP="009D1734">
      <w:r>
        <w:separator/>
      </w:r>
    </w:p>
  </w:footnote>
  <w:footnote w:type="continuationSeparator" w:id="0">
    <w:p w14:paraId="448B8D85" w14:textId="77777777" w:rsidR="001772E8" w:rsidRDefault="001772E8" w:rsidP="00C043DB">
      <w:r>
        <w:continuationSeparator/>
      </w:r>
    </w:p>
  </w:footnote>
  <w:footnote w:type="continuationNotice" w:id="1">
    <w:p w14:paraId="5F842B22" w14:textId="77777777" w:rsidR="001772E8" w:rsidRDefault="001772E8"/>
  </w:footnote>
  <w:footnote w:id="2">
    <w:p w14:paraId="0FA4207C" w14:textId="26460B17" w:rsidR="000655E0" w:rsidRDefault="000655E0">
      <w:pPr>
        <w:pStyle w:val="FootnoteText"/>
      </w:pPr>
      <w:r>
        <w:rPr>
          <w:rStyle w:val="FootnoteReference"/>
        </w:rPr>
        <w:footnoteRef/>
      </w:r>
      <w:r>
        <w:t xml:space="preserve"> Consumer Action Law Centre, 2020, </w:t>
      </w:r>
      <w:r w:rsidRPr="00B93B88">
        <w:rPr>
          <w:i/>
          <w:iCs/>
        </w:rPr>
        <w:t>Bills Here Bills There</w:t>
      </w:r>
      <w:r>
        <w:t xml:space="preserve"> </w:t>
      </w:r>
      <w:r w:rsidRPr="00507DB1">
        <w:rPr>
          <w:i/>
          <w:iCs/>
        </w:rPr>
        <w:t>The Lived Experience of Victorian Energy Reform</w:t>
      </w:r>
      <w:r>
        <w:t xml:space="preserve">, accessed 8 December 2020, </w:t>
      </w:r>
      <w:r w:rsidRPr="00507DB1">
        <w:t>https://consumeraction.org.au/bills-here-bills-there-report-on-the-lived-experience-of-victorian-energy-reform/</w:t>
      </w:r>
    </w:p>
  </w:footnote>
  <w:footnote w:id="3">
    <w:p w14:paraId="392968E4" w14:textId="576105E0" w:rsidR="000655E0" w:rsidRPr="00484D47" w:rsidRDefault="000655E0">
      <w:pPr>
        <w:pStyle w:val="FootnoteText"/>
        <w:rPr>
          <w:b/>
          <w:bCs/>
        </w:rPr>
      </w:pPr>
      <w:r>
        <w:rPr>
          <w:rStyle w:val="FootnoteReference"/>
        </w:rPr>
        <w:footnoteRef/>
      </w:r>
      <w:r>
        <w:t xml:space="preserve"> Australian </w:t>
      </w:r>
      <w:r w:rsidR="005B065E">
        <w:t>Council</w:t>
      </w:r>
      <w:r>
        <w:t xml:space="preserve"> of Social Service, 2020, </w:t>
      </w:r>
      <w:r w:rsidRPr="00484D47">
        <w:rPr>
          <w:i/>
          <w:iCs/>
        </w:rPr>
        <w:t xml:space="preserve">COVID shines light on failure of energy system for people experiencing disadvantage, </w:t>
      </w:r>
      <w:r>
        <w:t>accessed 8 December 2020, h</w:t>
      </w:r>
      <w:r w:rsidRPr="00484D47">
        <w:t>ttps://www.acoss.org.au/media_release/covid-shines-light-on-failure-of-energy-system-for-people-experiencing-disadvantage/</w:t>
      </w:r>
    </w:p>
  </w:footnote>
  <w:footnote w:id="4">
    <w:p w14:paraId="44437F58" w14:textId="03CCDC0F" w:rsidR="000655E0" w:rsidRPr="00EE795A" w:rsidRDefault="000655E0" w:rsidP="00EE795A">
      <w:pPr>
        <w:pStyle w:val="SourceRPC"/>
        <w:rPr>
          <w:rFonts w:eastAsiaTheme="minorHAnsi"/>
          <w:color w:val="000000" w:themeColor="text1"/>
          <w:sz w:val="18"/>
          <w:szCs w:val="18"/>
        </w:rPr>
      </w:pPr>
      <w:r w:rsidRPr="00EE795A">
        <w:rPr>
          <w:rStyle w:val="FootnoteReference"/>
          <w:sz w:val="18"/>
          <w:szCs w:val="18"/>
        </w:rPr>
        <w:footnoteRef/>
      </w:r>
      <w:r w:rsidRPr="00EE795A">
        <w:rPr>
          <w:sz w:val="18"/>
          <w:szCs w:val="18"/>
        </w:rPr>
        <w:t xml:space="preserve"> ACOSS &amp; Brotherhood of St Laurence 2018, </w:t>
      </w:r>
      <w:r w:rsidRPr="00EE795A">
        <w:rPr>
          <w:i/>
          <w:iCs/>
          <w:sz w:val="18"/>
          <w:szCs w:val="18"/>
        </w:rPr>
        <w:t>Energy stressed in Australia</w:t>
      </w:r>
      <w:r w:rsidRPr="00EE795A">
        <w:rPr>
          <w:sz w:val="18"/>
          <w:szCs w:val="18"/>
        </w:rPr>
        <w:t>, ACOSS, viewed 2 September 2019, http://library.bsl.org.au/jspui/bitstream/1/10896/4/ACOSS_BSL_Energy_stressed_in_Australia_Oct2018.pdf</w:t>
      </w:r>
    </w:p>
  </w:footnote>
  <w:footnote w:id="5">
    <w:p w14:paraId="6FA94C94" w14:textId="3A9B7EF9" w:rsidR="000655E0" w:rsidRPr="00772365" w:rsidRDefault="000655E0" w:rsidP="0023716F">
      <w:pPr>
        <w:pStyle w:val="FootnoteText"/>
        <w:rPr>
          <w:rFonts w:asciiTheme="minorHAnsi" w:hAnsiTheme="minorHAnsi" w:cstheme="minorHAnsi"/>
          <w:sz w:val="18"/>
          <w:szCs w:val="18"/>
        </w:rPr>
      </w:pPr>
      <w:r w:rsidRPr="00772365">
        <w:rPr>
          <w:rStyle w:val="FootnoteReference"/>
          <w:rFonts w:asciiTheme="minorHAnsi" w:hAnsiTheme="minorHAnsi" w:cstheme="minorHAnsi"/>
          <w:sz w:val="18"/>
          <w:szCs w:val="18"/>
        </w:rPr>
        <w:footnoteRef/>
      </w:r>
      <w:r w:rsidRPr="00772365">
        <w:rPr>
          <w:rFonts w:asciiTheme="minorHAnsi" w:hAnsiTheme="minorHAnsi" w:cstheme="minorHAnsi"/>
          <w:sz w:val="18"/>
          <w:szCs w:val="18"/>
        </w:rPr>
        <w:t xml:space="preserve"> Consumer Action Law Centre, 2019, Energy Assistance Report, accessed 1 March 2020 https://consumeraction.org.au/wp-content/uploads/2019/07/190620_Energy-Assistance-Report_FINAL_WEB.pdf</w:t>
      </w:r>
    </w:p>
  </w:footnote>
  <w:footnote w:id="6">
    <w:p w14:paraId="4CEBAB9F" w14:textId="77777777" w:rsidR="000655E0" w:rsidRPr="00772365" w:rsidRDefault="000655E0" w:rsidP="005F4281">
      <w:pPr>
        <w:rPr>
          <w:rFonts w:asciiTheme="minorHAnsi" w:eastAsiaTheme="minorHAnsi" w:hAnsiTheme="minorHAnsi" w:cstheme="minorHAnsi"/>
          <w:color w:val="000000" w:themeColor="text1"/>
          <w:sz w:val="18"/>
          <w:szCs w:val="18"/>
        </w:rPr>
      </w:pPr>
      <w:r w:rsidRPr="00772365">
        <w:rPr>
          <w:rFonts w:asciiTheme="minorHAnsi" w:hAnsiTheme="minorHAnsi" w:cstheme="minorHAnsi"/>
          <w:sz w:val="18"/>
          <w:szCs w:val="18"/>
        </w:rPr>
        <w:footnoteRef/>
      </w:r>
      <w:r w:rsidRPr="00772365">
        <w:rPr>
          <w:rFonts w:asciiTheme="minorHAnsi" w:hAnsiTheme="minorHAnsi" w:cstheme="minorHAnsi"/>
          <w:sz w:val="18"/>
          <w:szCs w:val="18"/>
        </w:rPr>
        <w:t xml:space="preserve"> Australian Council of Social Service &amp; Brotherhood of St Laurence 2018, Energy stressed in Australia, ACOSS, viewed 2 September 2019, </w:t>
      </w:r>
      <w:hyperlink r:id="rId1" w:history="1">
        <w:r w:rsidRPr="00772365">
          <w:rPr>
            <w:rFonts w:asciiTheme="minorHAnsi" w:hAnsiTheme="minorHAnsi" w:cstheme="minorHAnsi"/>
            <w:sz w:val="18"/>
            <w:szCs w:val="18"/>
          </w:rPr>
          <w:t>http://library.bsl.org.au/jspui/bitstream/1/10896/4/ACOSS_BSL_Energy_stressed_in_Australia_Oct2018.pdf</w:t>
        </w:r>
      </w:hyperlink>
    </w:p>
  </w:footnote>
  <w:footnote w:id="7">
    <w:p w14:paraId="0823D54C" w14:textId="2570B178" w:rsidR="000655E0" w:rsidRPr="00772365" w:rsidRDefault="000655E0" w:rsidP="00D06B91">
      <w:pPr>
        <w:pStyle w:val="FootnoteText"/>
        <w:rPr>
          <w:rFonts w:asciiTheme="minorHAnsi" w:eastAsia="Calibri" w:hAnsiTheme="minorHAnsi" w:cstheme="minorHAnsi"/>
          <w:color w:val="000000"/>
          <w:sz w:val="18"/>
          <w:szCs w:val="18"/>
          <w:lang w:eastAsia="en-AU"/>
        </w:rPr>
      </w:pPr>
      <w:r w:rsidRPr="00772365">
        <w:rPr>
          <w:rStyle w:val="FootnoteReference"/>
          <w:rFonts w:asciiTheme="minorHAnsi" w:hAnsiTheme="minorHAnsi" w:cstheme="minorHAnsi"/>
          <w:sz w:val="18"/>
          <w:szCs w:val="18"/>
        </w:rPr>
        <w:footnoteRef/>
      </w:r>
      <w:r w:rsidRPr="00772365">
        <w:rPr>
          <w:rFonts w:asciiTheme="minorHAnsi" w:hAnsiTheme="minorHAnsi" w:cstheme="minorHAnsi"/>
          <w:sz w:val="18"/>
          <w:szCs w:val="18"/>
        </w:rPr>
        <w:t xml:space="preserve"> </w:t>
      </w:r>
      <w:r w:rsidRPr="00772365">
        <w:rPr>
          <w:rFonts w:asciiTheme="minorHAnsi" w:hAnsiTheme="minorHAnsi" w:cstheme="minorHAnsi"/>
          <w:color w:val="000000"/>
          <w:sz w:val="18"/>
          <w:szCs w:val="18"/>
          <w:lang w:eastAsia="en-AU"/>
        </w:rPr>
        <w:t>Australian Council of Social Service, 2019, ‘I regularly don’t eat at all’: Trying to get by on Newstart, accessed 1 March 2020, https://www.acoss.org.au/wp-content/uploads/2019/07/190729-Survey-of-people-on-Newstart-and-Youth- Allowance.pdf</w:t>
      </w:r>
    </w:p>
  </w:footnote>
  <w:footnote w:id="8">
    <w:p w14:paraId="2022E411" w14:textId="05D08F6D" w:rsidR="000655E0" w:rsidRPr="00772365" w:rsidRDefault="000655E0">
      <w:pPr>
        <w:pStyle w:val="FootnoteText"/>
        <w:rPr>
          <w:rFonts w:asciiTheme="minorHAnsi" w:hAnsiTheme="minorHAnsi" w:cstheme="minorHAnsi"/>
          <w:sz w:val="18"/>
          <w:szCs w:val="18"/>
        </w:rPr>
      </w:pPr>
      <w:r w:rsidRPr="00772365">
        <w:rPr>
          <w:rStyle w:val="FootnoteReference"/>
          <w:rFonts w:asciiTheme="minorHAnsi" w:hAnsiTheme="minorHAnsi" w:cstheme="minorHAnsi"/>
          <w:sz w:val="18"/>
          <w:szCs w:val="18"/>
        </w:rPr>
        <w:footnoteRef/>
      </w:r>
      <w:r w:rsidRPr="00772365">
        <w:rPr>
          <w:rFonts w:asciiTheme="minorHAnsi" w:hAnsiTheme="minorHAnsi" w:cstheme="minorHAnsi"/>
          <w:sz w:val="18"/>
          <w:szCs w:val="18"/>
        </w:rPr>
        <w:t xml:space="preserve"> ACOSS, 2020</w:t>
      </w:r>
    </w:p>
  </w:footnote>
  <w:footnote w:id="9">
    <w:p w14:paraId="0AF38780" w14:textId="59D4C698" w:rsidR="000655E0" w:rsidRPr="00081A52" w:rsidRDefault="000655E0">
      <w:pPr>
        <w:pStyle w:val="FootnoteText"/>
        <w:rPr>
          <w:sz w:val="18"/>
          <w:szCs w:val="18"/>
        </w:rPr>
      </w:pPr>
      <w:r w:rsidRPr="00772365">
        <w:rPr>
          <w:rStyle w:val="FootnoteReference"/>
          <w:rFonts w:asciiTheme="minorHAnsi" w:hAnsiTheme="minorHAnsi" w:cstheme="minorHAnsi"/>
          <w:sz w:val="18"/>
          <w:szCs w:val="18"/>
        </w:rPr>
        <w:footnoteRef/>
      </w:r>
      <w:r w:rsidRPr="00772365">
        <w:rPr>
          <w:rFonts w:asciiTheme="minorHAnsi" w:hAnsiTheme="minorHAnsi" w:cstheme="minorHAnsi"/>
          <w:sz w:val="18"/>
          <w:szCs w:val="18"/>
        </w:rPr>
        <w:t xml:space="preserve"> Harrison, Ursula et al, 2020, </w:t>
      </w:r>
      <w:r w:rsidRPr="00772365">
        <w:rPr>
          <w:rFonts w:asciiTheme="minorHAnsi" w:hAnsiTheme="minorHAnsi" w:cstheme="minorHAnsi"/>
          <w:i/>
          <w:iCs/>
          <w:sz w:val="18"/>
          <w:szCs w:val="18"/>
        </w:rPr>
        <w:t xml:space="preserve">Setbacks at 30: Life Chances and COVID-19, </w:t>
      </w:r>
      <w:r w:rsidRPr="00772365">
        <w:rPr>
          <w:rFonts w:asciiTheme="minorHAnsi" w:hAnsiTheme="minorHAnsi" w:cstheme="minorHAnsi"/>
          <w:sz w:val="18"/>
          <w:szCs w:val="18"/>
        </w:rPr>
        <w:t>Brotherhood of St Laurence, accessed 29 December 2020</w:t>
      </w:r>
      <w:r w:rsidRPr="00772365">
        <w:rPr>
          <w:rFonts w:asciiTheme="minorHAnsi" w:hAnsiTheme="minorHAnsi" w:cstheme="minorHAnsi"/>
          <w:i/>
          <w:iCs/>
          <w:sz w:val="18"/>
          <w:szCs w:val="18"/>
        </w:rPr>
        <w:t xml:space="preserve"> </w:t>
      </w:r>
      <w:r w:rsidRPr="00772365">
        <w:rPr>
          <w:rFonts w:asciiTheme="minorHAnsi" w:hAnsiTheme="minorHAnsi" w:cstheme="minorHAnsi"/>
          <w:sz w:val="18"/>
          <w:szCs w:val="18"/>
        </w:rPr>
        <w:t xml:space="preserve"> http://library.bsl.org.au/jspui/bitstream/1/12354/1/BSL_COVID-19_Insights_Setbacks_at_30_LifeChances_Dec2020.pdf</w:t>
      </w:r>
    </w:p>
  </w:footnote>
  <w:footnote w:id="10">
    <w:p w14:paraId="16010C8F" w14:textId="56666C20" w:rsidR="000655E0" w:rsidRPr="00B225C0" w:rsidRDefault="000655E0">
      <w:pPr>
        <w:pStyle w:val="FootnoteText"/>
      </w:pPr>
      <w:r>
        <w:rPr>
          <w:rStyle w:val="FootnoteReference"/>
        </w:rPr>
        <w:footnoteRef/>
      </w:r>
      <w:r>
        <w:t xml:space="preserve"> AER, 2020, </w:t>
      </w:r>
      <w:r w:rsidRPr="005B3EEA">
        <w:rPr>
          <w:i/>
          <w:iCs/>
        </w:rPr>
        <w:t>Powercor</w:t>
      </w:r>
      <w:r>
        <w:rPr>
          <w:i/>
          <w:iCs/>
        </w:rPr>
        <w:t xml:space="preserve"> Distribution Determination 2021 to 2026 Attachment 5 Capital Expenditure, </w:t>
      </w:r>
      <w:r>
        <w:t xml:space="preserve">accessed 1 December 2020, </w:t>
      </w:r>
      <w:r w:rsidRPr="00B225C0">
        <w:t>https://www.aer.gov.au/networks-pipelines/determinations-access-arrangements/powercor-determination-2021-26</w:t>
      </w:r>
    </w:p>
  </w:footnote>
  <w:footnote w:id="11">
    <w:p w14:paraId="3F8DE46E" w14:textId="22902758" w:rsidR="000655E0" w:rsidRPr="007D2259" w:rsidRDefault="000655E0">
      <w:pPr>
        <w:pStyle w:val="FootnoteText"/>
      </w:pPr>
      <w:r>
        <w:rPr>
          <w:rStyle w:val="FootnoteReference"/>
        </w:rPr>
        <w:footnoteRef/>
      </w:r>
      <w:r>
        <w:t xml:space="preserve"> AusNet Services, 2020, </w:t>
      </w:r>
      <w:r w:rsidRPr="007D2259">
        <w:rPr>
          <w:i/>
          <w:iCs/>
        </w:rPr>
        <w:t>Revised Regulatory Proposal EDPR 2022-26</w:t>
      </w:r>
      <w:r>
        <w:rPr>
          <w:i/>
          <w:iCs/>
        </w:rPr>
        <w:t>,</w:t>
      </w:r>
      <w:r>
        <w:t xml:space="preserve"> accessed 19 December 2020, </w:t>
      </w:r>
      <w:r w:rsidRPr="007D2259">
        <w:t>https://www.aer.gov.au/networks-pipelines/determinations-access-arrangements/</w:t>
      </w:r>
      <w:r>
        <w:t>AusNet</w:t>
      </w:r>
      <w:r w:rsidRPr="007D2259">
        <w:t>-services-determination-2021-26/proposal</w:t>
      </w:r>
    </w:p>
  </w:footnote>
  <w:footnote w:id="12">
    <w:p w14:paraId="16A5C854" w14:textId="77777777" w:rsidR="000655E0" w:rsidRPr="00EE795A" w:rsidRDefault="000655E0" w:rsidP="003B4481">
      <w:pPr>
        <w:pStyle w:val="FootnoteText"/>
        <w:tabs>
          <w:tab w:val="left" w:pos="284"/>
        </w:tabs>
        <w:rPr>
          <w:rFonts w:asciiTheme="minorHAnsi" w:hAnsiTheme="minorHAnsi" w:cstheme="minorHAnsi"/>
          <w:sz w:val="18"/>
          <w:szCs w:val="18"/>
        </w:rPr>
      </w:pPr>
      <w:r w:rsidRPr="00EE795A">
        <w:rPr>
          <w:rStyle w:val="FootnoteReference"/>
          <w:rFonts w:asciiTheme="minorHAnsi" w:hAnsiTheme="minorHAnsi" w:cstheme="minorHAnsi"/>
          <w:sz w:val="18"/>
          <w:szCs w:val="18"/>
        </w:rPr>
        <w:footnoteRef/>
      </w:r>
      <w:r w:rsidRPr="00EE795A">
        <w:rPr>
          <w:rFonts w:asciiTheme="minorHAnsi" w:hAnsiTheme="minorHAnsi" w:cstheme="minorHAnsi"/>
          <w:sz w:val="18"/>
          <w:szCs w:val="18"/>
        </w:rPr>
        <w:t xml:space="preserve"> Minister for Population, Cities and Urban Infrastructure, December 2020, </w:t>
      </w:r>
      <w:r w:rsidRPr="00EE795A">
        <w:rPr>
          <w:rFonts w:asciiTheme="minorHAnsi" w:hAnsiTheme="minorHAnsi" w:cstheme="minorHAnsi"/>
          <w:i/>
          <w:iCs/>
          <w:sz w:val="18"/>
          <w:szCs w:val="18"/>
        </w:rPr>
        <w:t>First annual population statement released today</w:t>
      </w:r>
      <w:r w:rsidRPr="00EE795A">
        <w:rPr>
          <w:rFonts w:asciiTheme="minorHAnsi" w:hAnsiTheme="minorHAnsi" w:cstheme="minorHAnsi"/>
          <w:sz w:val="18"/>
          <w:szCs w:val="18"/>
        </w:rPr>
        <w:t>, accessed 29 December, https://minister.infrastructure.gov.au/tudge/media-release/first-annual-population-statement-released-today</w:t>
      </w:r>
    </w:p>
  </w:footnote>
  <w:footnote w:id="13">
    <w:p w14:paraId="118502DF" w14:textId="6522D8EE" w:rsidR="000655E0" w:rsidRPr="00EE795A" w:rsidRDefault="000655E0" w:rsidP="00EE795A">
      <w:pPr>
        <w:rPr>
          <w:rFonts w:asciiTheme="minorHAnsi" w:hAnsiTheme="minorHAnsi" w:cstheme="minorHAnsi"/>
          <w:sz w:val="18"/>
          <w:szCs w:val="18"/>
        </w:rPr>
      </w:pPr>
      <w:r w:rsidRPr="00EE795A">
        <w:rPr>
          <w:rStyle w:val="FootnoteReference"/>
          <w:rFonts w:asciiTheme="minorHAnsi" w:hAnsiTheme="minorHAnsi" w:cstheme="minorHAnsi"/>
          <w:sz w:val="18"/>
          <w:szCs w:val="18"/>
        </w:rPr>
        <w:footnoteRef/>
      </w:r>
      <w:r w:rsidRPr="00EE795A">
        <w:rPr>
          <w:rFonts w:asciiTheme="minorHAnsi" w:hAnsiTheme="minorHAnsi" w:cstheme="minorHAnsi"/>
          <w:sz w:val="18"/>
          <w:szCs w:val="18"/>
        </w:rPr>
        <w:t xml:space="preserve"> Minister for Population, Cities and Urban Infrastructure, December 2020, New </w:t>
      </w:r>
      <w:r w:rsidRPr="00EE795A">
        <w:rPr>
          <w:rFonts w:asciiTheme="minorHAnsi" w:hAnsiTheme="minorHAnsi" w:cstheme="minorHAnsi"/>
          <w:bCs/>
          <w:i/>
          <w:iCs/>
          <w:color w:val="000000" w:themeColor="text1"/>
          <w:sz w:val="18"/>
          <w:szCs w:val="18"/>
        </w:rPr>
        <w:t>Projections for Australia’s Future Fertility Rate</w:t>
      </w:r>
      <w:r w:rsidRPr="00EE795A">
        <w:rPr>
          <w:rFonts w:asciiTheme="minorHAnsi" w:hAnsiTheme="minorHAnsi" w:cstheme="minorHAnsi"/>
          <w:bCs/>
          <w:color w:val="000000" w:themeColor="text1"/>
          <w:sz w:val="18"/>
          <w:szCs w:val="18"/>
        </w:rPr>
        <w:t>, Federal Government’s Centre for Population, accessed 29 December 2020, https://minister.infrastructure.gov.au/tudge/media-release/new-projections-australias-10-year-fertility-rate</w:t>
      </w:r>
      <w:r w:rsidRPr="00EE795A">
        <w:rPr>
          <w:rFonts w:asciiTheme="minorHAnsi" w:hAnsiTheme="minorHAnsi" w:cstheme="minorHAnsi"/>
          <w:color w:val="313131"/>
          <w:sz w:val="18"/>
          <w:szCs w:val="18"/>
          <w:shd w:val="clear" w:color="auto" w:fill="FFFFFF"/>
        </w:rPr>
        <w:t> </w:t>
      </w:r>
    </w:p>
  </w:footnote>
  <w:footnote w:id="14">
    <w:p w14:paraId="4622FABC" w14:textId="4C1A8A47" w:rsidR="000655E0" w:rsidRPr="00EE795A" w:rsidRDefault="000655E0" w:rsidP="00790520">
      <w:pPr>
        <w:pStyle w:val="Heading1"/>
        <w:spacing w:before="0" w:after="0"/>
        <w:rPr>
          <w:rFonts w:asciiTheme="minorHAnsi" w:hAnsiTheme="minorHAnsi" w:cstheme="minorHAnsi"/>
          <w:color w:val="012A58"/>
          <w:sz w:val="18"/>
          <w:szCs w:val="18"/>
          <w:lang w:eastAsia="en-GB"/>
        </w:rPr>
      </w:pPr>
      <w:r w:rsidRPr="00EE795A">
        <w:rPr>
          <w:rStyle w:val="FootnoteReference"/>
          <w:rFonts w:asciiTheme="minorHAnsi" w:hAnsiTheme="minorHAnsi" w:cstheme="minorHAnsi"/>
          <w:b w:val="0"/>
          <w:bCs/>
          <w:color w:val="000000" w:themeColor="text1"/>
          <w:sz w:val="18"/>
          <w:szCs w:val="18"/>
        </w:rPr>
        <w:footnoteRef/>
      </w:r>
      <w:r w:rsidRPr="00EE795A">
        <w:rPr>
          <w:rFonts w:asciiTheme="minorHAnsi" w:hAnsiTheme="minorHAnsi" w:cstheme="minorHAnsi"/>
          <w:b w:val="0"/>
          <w:bCs/>
          <w:color w:val="000000" w:themeColor="text1"/>
          <w:sz w:val="18"/>
          <w:szCs w:val="18"/>
        </w:rPr>
        <w:t xml:space="preserve"> Ian Marshman and Frank Larkins, 2020,  </w:t>
      </w:r>
      <w:r w:rsidRPr="00EE795A">
        <w:rPr>
          <w:rFonts w:asciiTheme="minorHAnsi" w:hAnsiTheme="minorHAnsi" w:cstheme="minorHAnsi"/>
          <w:b w:val="0"/>
          <w:bCs/>
          <w:i/>
          <w:iCs/>
          <w:color w:val="000000" w:themeColor="text1"/>
          <w:sz w:val="18"/>
          <w:szCs w:val="18"/>
        </w:rPr>
        <w:t xml:space="preserve">Modelling individual Australian universities resilience in managing overseas student revenue losses from the COVID-19 pandemic, </w:t>
      </w:r>
      <w:r w:rsidRPr="00EE795A">
        <w:rPr>
          <w:rFonts w:asciiTheme="minorHAnsi" w:hAnsiTheme="minorHAnsi" w:cstheme="minorHAnsi"/>
          <w:b w:val="0"/>
          <w:bCs/>
          <w:color w:val="000000" w:themeColor="text1"/>
          <w:sz w:val="18"/>
          <w:szCs w:val="18"/>
        </w:rPr>
        <w:t>accessed 1 December 2020, https://melbourne-cshe.unimelb.edu.au/lh-martin-institute/insights/modelling-individual-australian-universities-resilience-in-managing-overseas-student-revenue-losses-from-the-covid-19-pandemic</w:t>
      </w:r>
    </w:p>
  </w:footnote>
  <w:footnote w:id="15">
    <w:p w14:paraId="7EDAA872" w14:textId="6AC891DC" w:rsidR="000655E0" w:rsidRPr="00B23081" w:rsidRDefault="000655E0">
      <w:pPr>
        <w:pStyle w:val="FootnoteText"/>
        <w:rPr>
          <w:sz w:val="18"/>
          <w:szCs w:val="18"/>
        </w:rPr>
      </w:pPr>
      <w:r w:rsidRPr="00EE795A">
        <w:rPr>
          <w:rStyle w:val="FootnoteReference"/>
          <w:rFonts w:asciiTheme="minorHAnsi" w:hAnsiTheme="minorHAnsi" w:cstheme="minorHAnsi"/>
          <w:sz w:val="18"/>
          <w:szCs w:val="18"/>
        </w:rPr>
        <w:footnoteRef/>
      </w:r>
      <w:r w:rsidRPr="00EE795A">
        <w:rPr>
          <w:rFonts w:asciiTheme="minorHAnsi" w:hAnsiTheme="minorHAnsi" w:cstheme="minorHAnsi"/>
          <w:sz w:val="18"/>
          <w:szCs w:val="18"/>
        </w:rPr>
        <w:t xml:space="preserve"> Australian Government Centre for Population, 2020, </w:t>
      </w:r>
      <w:r w:rsidRPr="00EE795A">
        <w:rPr>
          <w:rFonts w:asciiTheme="minorHAnsi" w:hAnsiTheme="minorHAnsi" w:cstheme="minorHAnsi"/>
          <w:i/>
          <w:iCs/>
          <w:sz w:val="18"/>
          <w:szCs w:val="18"/>
        </w:rPr>
        <w:t xml:space="preserve">Annual Population Report, </w:t>
      </w:r>
      <w:r w:rsidRPr="00EE795A">
        <w:rPr>
          <w:rFonts w:asciiTheme="minorHAnsi" w:hAnsiTheme="minorHAnsi" w:cstheme="minorHAnsi"/>
          <w:sz w:val="18"/>
          <w:szCs w:val="18"/>
        </w:rPr>
        <w:t>accessed 1 December 2020, https://population.gov.au/publications/publications-population-statement.html</w:t>
      </w:r>
    </w:p>
  </w:footnote>
  <w:footnote w:id="16">
    <w:p w14:paraId="77A82CA4" w14:textId="2C846993" w:rsidR="000655E0" w:rsidRDefault="000655E0">
      <w:pPr>
        <w:pStyle w:val="FootnoteText"/>
      </w:pPr>
      <w:r w:rsidRPr="00B23081">
        <w:rPr>
          <w:rStyle w:val="FootnoteReference"/>
          <w:sz w:val="18"/>
          <w:szCs w:val="18"/>
        </w:rPr>
        <w:footnoteRef/>
      </w:r>
      <w:r w:rsidRPr="00B23081">
        <w:rPr>
          <w:sz w:val="18"/>
          <w:szCs w:val="18"/>
        </w:rPr>
        <w:t xml:space="preserve"> Australian Government Centre for Population, 2020, Whittlesea Population Growth Dashboard, accessed 1 December 2019</w:t>
      </w:r>
    </w:p>
  </w:footnote>
  <w:footnote w:id="17">
    <w:p w14:paraId="5715491F" w14:textId="2F2ABF33" w:rsidR="000655E0" w:rsidRPr="00B23081" w:rsidRDefault="000655E0">
      <w:pPr>
        <w:pStyle w:val="FootnoteText"/>
        <w:rPr>
          <w:sz w:val="18"/>
          <w:szCs w:val="18"/>
        </w:rPr>
      </w:pPr>
      <w:r>
        <w:rPr>
          <w:rStyle w:val="FootnoteReference"/>
        </w:rPr>
        <w:footnoteRef/>
      </w:r>
      <w:r>
        <w:t xml:space="preserve"> </w:t>
      </w:r>
      <w:r w:rsidRPr="00B23081">
        <w:rPr>
          <w:sz w:val="18"/>
          <w:szCs w:val="18"/>
        </w:rPr>
        <w:t xml:space="preserve">Energy Networks Australia, 2016, </w:t>
      </w:r>
      <w:r w:rsidRPr="00B23081">
        <w:rPr>
          <w:i/>
          <w:iCs/>
          <w:sz w:val="18"/>
          <w:szCs w:val="18"/>
        </w:rPr>
        <w:t>Customer Engagement Handbook,</w:t>
      </w:r>
      <w:r w:rsidRPr="00B23081">
        <w:rPr>
          <w:sz w:val="18"/>
          <w:szCs w:val="18"/>
        </w:rPr>
        <w:t xml:space="preserve"> Accessed 1 December, https://www.energynetworks.com.au/assets/uploads/customer_engagement_handbook_engagement_draft_april_2016.pdf</w:t>
      </w:r>
    </w:p>
  </w:footnote>
  <w:footnote w:id="18">
    <w:p w14:paraId="2CBF09C8" w14:textId="6F92DE5A" w:rsidR="000655E0" w:rsidRDefault="000655E0">
      <w:pPr>
        <w:pStyle w:val="FootnoteText"/>
      </w:pPr>
      <w:r w:rsidRPr="00B23081">
        <w:rPr>
          <w:rStyle w:val="FootnoteReference"/>
          <w:sz w:val="18"/>
          <w:szCs w:val="18"/>
        </w:rPr>
        <w:footnoteRef/>
      </w:r>
      <w:r w:rsidRPr="00B23081">
        <w:rPr>
          <w:sz w:val="18"/>
          <w:szCs w:val="18"/>
        </w:rPr>
        <w:t xml:space="preserve"> ENA, 2016</w:t>
      </w:r>
    </w:p>
  </w:footnote>
  <w:footnote w:id="19">
    <w:p w14:paraId="0C0F2CA4" w14:textId="44B3ECFE" w:rsidR="000655E0" w:rsidRDefault="000655E0">
      <w:pPr>
        <w:pStyle w:val="FootnoteText"/>
      </w:pPr>
      <w:r>
        <w:rPr>
          <w:rStyle w:val="FootnoteReference"/>
        </w:rPr>
        <w:footnoteRef/>
      </w:r>
      <w:r>
        <w:t xml:space="preserve"> </w:t>
      </w:r>
      <w:r w:rsidRPr="00B23081">
        <w:rPr>
          <w:sz w:val="18"/>
          <w:szCs w:val="18"/>
        </w:rPr>
        <w:t xml:space="preserve">AusNet Services, 2020, </w:t>
      </w:r>
      <w:r w:rsidRPr="00B23081">
        <w:rPr>
          <w:i/>
          <w:iCs/>
          <w:sz w:val="18"/>
          <w:szCs w:val="18"/>
        </w:rPr>
        <w:t>EDPR 2022-26 Revised Regulatory Proposal</w:t>
      </w:r>
      <w:r w:rsidRPr="00B23081">
        <w:rPr>
          <w:sz w:val="18"/>
          <w:szCs w:val="18"/>
        </w:rPr>
        <w:t>, accessed 1 December 2020, https://www.aer.gov.au/networks-pipelines/determinations-access-arrangements/ausnet-services-determination-2021-26/proposal</w:t>
      </w:r>
    </w:p>
  </w:footnote>
  <w:footnote w:id="20">
    <w:p w14:paraId="68322FE4" w14:textId="3846C540" w:rsidR="000655E0" w:rsidRPr="00B23081" w:rsidRDefault="000655E0">
      <w:pPr>
        <w:pStyle w:val="FootnoteText"/>
        <w:rPr>
          <w:sz w:val="18"/>
          <w:szCs w:val="18"/>
        </w:rPr>
      </w:pPr>
      <w:r w:rsidRPr="00B23081">
        <w:rPr>
          <w:rStyle w:val="FootnoteReference"/>
          <w:sz w:val="18"/>
          <w:szCs w:val="18"/>
        </w:rPr>
        <w:footnoteRef/>
      </w:r>
      <w:r w:rsidRPr="00B23081">
        <w:rPr>
          <w:sz w:val="18"/>
          <w:szCs w:val="18"/>
        </w:rPr>
        <w:t xml:space="preserve"> Major Energy Users Association, 2020, Presentation to AER Public Forum, accessed 1 December, https://www.aer.gov.au/system/files/EUAA%20-Presentation%20%20-%20Predetermination%20conference%20-%20Victorian%20Electricity%20Distributor%20Determination%202021-26%20-%2015%20October%202020_3.pdf </w:t>
      </w:r>
    </w:p>
  </w:footnote>
  <w:footnote w:id="21">
    <w:p w14:paraId="3750E520" w14:textId="4CF958C5" w:rsidR="000655E0" w:rsidRDefault="000655E0" w:rsidP="0086671A">
      <w:pPr>
        <w:pStyle w:val="FootnoteText"/>
      </w:pPr>
      <w:r>
        <w:rPr>
          <w:rStyle w:val="FootnoteReference"/>
        </w:rPr>
        <w:footnoteRef/>
      </w:r>
      <w:r>
        <w:t xml:space="preserve"> Jemena, 2020, </w:t>
      </w:r>
      <w:r w:rsidRPr="00B23081">
        <w:rPr>
          <w:i/>
          <w:iCs/>
        </w:rPr>
        <w:t>2021-2026 EDPR Revised proposal Attachment 5, Operating Expenditure</w:t>
      </w:r>
      <w:r>
        <w:rPr>
          <w:i/>
          <w:iCs/>
        </w:rPr>
        <w:t xml:space="preserve">, </w:t>
      </w:r>
      <w:r w:rsidRPr="00B23081">
        <w:t>accessed 1 December 2020</w:t>
      </w:r>
      <w:r>
        <w:t xml:space="preserve">, </w:t>
      </w:r>
      <w:r w:rsidRPr="00637E97">
        <w:t>https://www.aer.gov.au/networks-pipelines/determinations-access-arrangements/jemena-determination-2021-26</w:t>
      </w:r>
    </w:p>
  </w:footnote>
  <w:footnote w:id="22">
    <w:p w14:paraId="3572BE90" w14:textId="4A392F2D" w:rsidR="000655E0" w:rsidRPr="00525237" w:rsidRDefault="000655E0" w:rsidP="0086671A">
      <w:pPr>
        <w:pStyle w:val="FootnoteText"/>
        <w:rPr>
          <w:sz w:val="18"/>
          <w:szCs w:val="18"/>
        </w:rPr>
      </w:pPr>
      <w:r w:rsidRPr="00525237">
        <w:rPr>
          <w:rStyle w:val="FootnoteReference"/>
          <w:sz w:val="18"/>
          <w:szCs w:val="18"/>
        </w:rPr>
        <w:footnoteRef/>
      </w:r>
      <w:r w:rsidRPr="00525237">
        <w:rPr>
          <w:sz w:val="18"/>
          <w:szCs w:val="18"/>
        </w:rPr>
        <w:t xml:space="preserve"> </w:t>
      </w:r>
      <w:r>
        <w:rPr>
          <w:sz w:val="18"/>
          <w:szCs w:val="18"/>
        </w:rPr>
        <w:t xml:space="preserve">Economic Insights, 2020, </w:t>
      </w:r>
      <w:r w:rsidRPr="00525237">
        <w:rPr>
          <w:i/>
          <w:iCs/>
          <w:sz w:val="18"/>
          <w:szCs w:val="18"/>
        </w:rPr>
        <w:t>Economic Benchmarking Results for the Australian Energy Regulator’s</w:t>
      </w:r>
      <w:r w:rsidRPr="00525237">
        <w:rPr>
          <w:i/>
          <w:iCs/>
          <w:sz w:val="18"/>
          <w:szCs w:val="18"/>
        </w:rPr>
        <w:br/>
        <w:t>2019 DNSP Annual Benchmarking Report</w:t>
      </w:r>
      <w:r>
        <w:rPr>
          <w:sz w:val="18"/>
          <w:szCs w:val="18"/>
        </w:rPr>
        <w:t xml:space="preserve">, accessed 1 December 2020, </w:t>
      </w:r>
      <w:r w:rsidRPr="00525237">
        <w:rPr>
          <w:sz w:val="18"/>
          <w:szCs w:val="18"/>
        </w:rPr>
        <w:t>https://www.aer.gov.au/system/files/D19-190817%20Economic%20Insights%20AER%20DNSP%20Benchmarking%20Report%20-%20October%202019.PDF</w:t>
      </w:r>
    </w:p>
  </w:footnote>
  <w:footnote w:id="23">
    <w:p w14:paraId="4E3F12AB" w14:textId="1B06DEFF" w:rsidR="000655E0" w:rsidRPr="00C44FCB" w:rsidRDefault="000655E0" w:rsidP="00052349">
      <w:pPr>
        <w:pStyle w:val="FootnoteText"/>
        <w:tabs>
          <w:tab w:val="left" w:pos="2689"/>
        </w:tabs>
        <w:rPr>
          <w:sz w:val="18"/>
          <w:szCs w:val="18"/>
        </w:rPr>
      </w:pPr>
      <w:r w:rsidRPr="00C44FCB">
        <w:rPr>
          <w:rStyle w:val="FootnoteReference"/>
          <w:sz w:val="18"/>
          <w:szCs w:val="18"/>
        </w:rPr>
        <w:footnoteRef/>
      </w:r>
      <w:r w:rsidRPr="00C44FCB">
        <w:rPr>
          <w:sz w:val="18"/>
          <w:szCs w:val="18"/>
        </w:rPr>
        <w:t xml:space="preserve"> Powercor, 2020, </w:t>
      </w:r>
      <w:r w:rsidRPr="00C44FCB">
        <w:rPr>
          <w:i/>
          <w:iCs/>
          <w:sz w:val="18"/>
          <w:szCs w:val="18"/>
        </w:rPr>
        <w:t>Revised Proposal 2021 – 2026</w:t>
      </w:r>
      <w:r w:rsidRPr="00C44FCB">
        <w:rPr>
          <w:sz w:val="18"/>
          <w:szCs w:val="18"/>
        </w:rPr>
        <w:t xml:space="preserve"> , accessed 1 December 2020, https://www.aer.gov.au/networks-pipelines/determinations-access-arrangements/powercor-determination-2021-26</w:t>
      </w:r>
      <w:r w:rsidRPr="00C44FCB">
        <w:rPr>
          <w:sz w:val="18"/>
          <w:szCs w:val="18"/>
        </w:rPr>
        <w:tab/>
      </w:r>
    </w:p>
  </w:footnote>
  <w:footnote w:id="24">
    <w:p w14:paraId="54D4443F" w14:textId="4033D320" w:rsidR="000655E0" w:rsidRDefault="000655E0">
      <w:pPr>
        <w:pStyle w:val="FootnoteText"/>
      </w:pPr>
      <w:r>
        <w:rPr>
          <w:rStyle w:val="FootnoteReference"/>
        </w:rPr>
        <w:footnoteRef/>
      </w:r>
      <w:r>
        <w:t xml:space="preserve"> Ausnet Services, 2020</w:t>
      </w:r>
    </w:p>
  </w:footnote>
  <w:footnote w:id="25">
    <w:p w14:paraId="18F110CE" w14:textId="36480E7C" w:rsidR="000655E0" w:rsidRDefault="000655E0">
      <w:pPr>
        <w:pStyle w:val="FootnoteText"/>
      </w:pPr>
      <w:r>
        <w:rPr>
          <w:rStyle w:val="FootnoteReference"/>
        </w:rPr>
        <w:footnoteRef/>
      </w:r>
      <w:r>
        <w:t xml:space="preserve"> Jemena, 2020, </w:t>
      </w:r>
      <w:r w:rsidRPr="00B23081">
        <w:rPr>
          <w:i/>
          <w:iCs/>
        </w:rPr>
        <w:t>2021-2026 EDPR Revised proposal Attachment</w:t>
      </w:r>
      <w:r>
        <w:rPr>
          <w:i/>
          <w:iCs/>
        </w:rPr>
        <w:t xml:space="preserve"> 4</w:t>
      </w:r>
      <w:r w:rsidRPr="00B23081">
        <w:rPr>
          <w:i/>
          <w:iCs/>
        </w:rPr>
        <w:t xml:space="preserve">, </w:t>
      </w:r>
      <w:r>
        <w:rPr>
          <w:i/>
          <w:iCs/>
        </w:rPr>
        <w:t>Capital</w:t>
      </w:r>
      <w:r w:rsidRPr="00B23081">
        <w:rPr>
          <w:i/>
          <w:iCs/>
        </w:rPr>
        <w:t xml:space="preserve"> Expenditure</w:t>
      </w:r>
      <w:r>
        <w:rPr>
          <w:i/>
          <w:iCs/>
        </w:rPr>
        <w:t xml:space="preserve">, </w:t>
      </w:r>
      <w:r w:rsidRPr="00B23081">
        <w:t>accessed 1 December 2020</w:t>
      </w:r>
      <w:r>
        <w:t xml:space="preserve">, </w:t>
      </w:r>
      <w:r w:rsidRPr="00637E97">
        <w:t>https://www.aer.gov.au/networks-pipelines/determinations-access-arrangements/jemena-determination-2021-26</w:t>
      </w:r>
    </w:p>
  </w:footnote>
  <w:footnote w:id="26">
    <w:p w14:paraId="1EC149A4" w14:textId="45DC8C35" w:rsidR="000655E0" w:rsidRPr="00BA3962" w:rsidRDefault="000655E0" w:rsidP="00BA3962">
      <w:pPr>
        <w:rPr>
          <w:rFonts w:ascii="Calibri" w:hAnsi="Calibri" w:cs="Arial"/>
          <w:sz w:val="20"/>
          <w:szCs w:val="20"/>
          <w:lang w:eastAsia="en-US"/>
        </w:rPr>
      </w:pPr>
      <w:r>
        <w:rPr>
          <w:rStyle w:val="FootnoteReference"/>
        </w:rPr>
        <w:footnoteRef/>
      </w:r>
      <w:r>
        <w:t xml:space="preserve"> </w:t>
      </w:r>
      <w:r w:rsidRPr="00BA3962">
        <w:rPr>
          <w:rFonts w:ascii="Calibri" w:hAnsi="Calibri" w:cs="Arial"/>
          <w:sz w:val="20"/>
          <w:szCs w:val="20"/>
          <w:lang w:eastAsia="en-US"/>
        </w:rPr>
        <w:t xml:space="preserve">CSIRO and Cutler Merz, </w:t>
      </w:r>
      <w:r>
        <w:rPr>
          <w:rFonts w:ascii="Calibri" w:hAnsi="Calibri" w:cs="Arial"/>
          <w:sz w:val="20"/>
          <w:szCs w:val="20"/>
          <w:lang w:eastAsia="en-US"/>
        </w:rPr>
        <w:t xml:space="preserve">2020, </w:t>
      </w:r>
      <w:r w:rsidRPr="00BA3962">
        <w:rPr>
          <w:rFonts w:ascii="Calibri" w:hAnsi="Calibri" w:cs="Arial"/>
          <w:i/>
          <w:iCs/>
          <w:sz w:val="20"/>
          <w:szCs w:val="20"/>
          <w:lang w:eastAsia="en-US"/>
        </w:rPr>
        <w:t>Value of Distributed Energy Resources Report</w:t>
      </w:r>
    </w:p>
    <w:p w14:paraId="7D68A643" w14:textId="7832CD53" w:rsidR="000655E0" w:rsidRDefault="000655E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8B690" w14:textId="0937B4CC" w:rsidR="000655E0" w:rsidRPr="00F37171" w:rsidRDefault="001772E8" w:rsidP="00F829C8">
    <w:pPr>
      <w:pStyle w:val="Headerevenpage"/>
      <w:pBdr>
        <w:bottom w:val="none" w:sz="0" w:space="0" w:color="auto"/>
      </w:pBdr>
      <w:rPr>
        <w:rFonts w:ascii="Calibri Light" w:hAnsi="Calibri Light"/>
      </w:rPr>
    </w:pPr>
    <w:r>
      <w:rPr>
        <w:noProof/>
      </w:rPr>
      <w:pict w14:anchorId="6F5CA3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86320" o:spid="_x0000_s2050" type="#_x0000_t136" alt="" style="position:absolute;margin-left:0;margin-top:0;width:396.9pt;height:132.3pt;z-index:-251658239;mso-wrap-edited:f;mso-width-percent:0;mso-height-percent:0;mso-position-horizontal:center;mso-position-horizontal-relative:margin;mso-position-vertical:center;mso-position-vertical-relative:margin;mso-width-percent:0;mso-height-percent:0" o:allowincell="f" fillcolor="gray [1629]"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FC8CC" w14:textId="1F851826" w:rsidR="000655E0" w:rsidRDefault="001772E8">
    <w:pPr>
      <w:pStyle w:val="Header"/>
    </w:pPr>
    <w:r>
      <w:rPr>
        <w:noProof/>
      </w:rPr>
      <w:pict w14:anchorId="271CA3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986321" o:spid="_x0000_s2049" type="#_x0000_t136" alt="" style="position:absolute;left:0;text-align:left;margin-left:0;margin-top:0;width:396.9pt;height:132.3pt;z-index:-251658238;mso-wrap-edited:f;mso-width-percent:0;mso-height-percent:0;mso-position-horizontal:center;mso-position-horizontal-relative:margin;mso-position-vertical:center;mso-position-vertical-relative:margin;mso-width-percent:0;mso-height-percent:0" o:allowincell="f" fillcolor="gray [1629]"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52CFD" w14:textId="794A47CC" w:rsidR="000655E0" w:rsidRDefault="000655E0">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41BB7" w14:textId="1653A0D1" w:rsidR="000655E0" w:rsidRPr="00F37171" w:rsidRDefault="000655E0" w:rsidP="0033625B">
    <w:pPr>
      <w:pStyle w:val="Headerevenpage"/>
    </w:pPr>
  </w:p>
  <w:p w14:paraId="13C82C7A" w14:textId="77777777" w:rsidR="000655E0" w:rsidRDefault="000655E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942AC" w14:textId="214D3DFB" w:rsidR="000655E0" w:rsidRPr="00117A7B" w:rsidRDefault="000655E0" w:rsidP="00A75A5B">
    <w:pPr>
      <w:pStyle w:val="Title"/>
      <w:pBdr>
        <w:bottom w:val="single" w:sz="4" w:space="1" w:color="auto"/>
      </w:pBdr>
      <w:tabs>
        <w:tab w:val="left" w:pos="3067"/>
        <w:tab w:val="right" w:pos="7938"/>
      </w:tabs>
      <w:spacing w:before="240"/>
      <w:jc w:val="right"/>
      <w:rPr>
        <w:color w:val="808080" w:themeColor="background1" w:themeShade="80"/>
        <w:sz w:val="20"/>
        <w:szCs w:val="20"/>
      </w:rPr>
    </w:pPr>
    <w:r>
      <w:rPr>
        <w:color w:val="808080" w:themeColor="background1" w:themeShade="80"/>
        <w:sz w:val="20"/>
        <w:szCs w:val="20"/>
      </w:rPr>
      <w:t>2021 Victorian EDPR – Joint submission from community organisations</w:t>
    </w:r>
  </w:p>
  <w:p w14:paraId="6F7084DB" w14:textId="77777777" w:rsidR="000655E0" w:rsidRDefault="000655E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EC672" w14:textId="709EC760" w:rsidR="000655E0" w:rsidRDefault="000655E0" w:rsidP="00F829C8">
    <w:pPr>
      <w:pStyle w:val="Headerevenpage"/>
    </w:pPr>
    <w:r>
      <w:tab/>
    </w:r>
    <w:r>
      <w:tab/>
    </w:r>
  </w:p>
  <w:p w14:paraId="6EBFA787" w14:textId="77777777" w:rsidR="000655E0" w:rsidRDefault="000655E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BC204" w14:textId="6B9043A9" w:rsidR="000655E0" w:rsidRPr="00C619B3" w:rsidRDefault="000655E0" w:rsidP="00C619B3">
    <w:pPr>
      <w:pStyle w:val="Headerevenpage"/>
    </w:pPr>
    <w:r>
      <w:rPr>
        <w:b/>
        <w:sz w:val="16"/>
        <w:szCs w:val="16"/>
      </w:rPr>
      <w:t>VCO Submission on Draft Determination and Revised Proposal Vic 2022-2027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341EB"/>
    <w:multiLevelType w:val="hybridMultilevel"/>
    <w:tmpl w:val="A634B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5508F"/>
    <w:multiLevelType w:val="hybridMultilevel"/>
    <w:tmpl w:val="8DB4C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DC5321"/>
    <w:multiLevelType w:val="multilevel"/>
    <w:tmpl w:val="ECEE272A"/>
    <w:styleLink w:val="RPCheadingsteststyle"/>
    <w:lvl w:ilvl="0">
      <w:start w:val="1"/>
      <w:numFmt w:val="decimal"/>
      <w:lvlText w:val="%1"/>
      <w:lvlJc w:val="left"/>
      <w:pPr>
        <w:tabs>
          <w:tab w:val="num" w:pos="357"/>
        </w:tabs>
        <w:ind w:left="360" w:hanging="36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lvlRestart w:val="1"/>
      <w:lvlText w:val=""/>
      <w:lvlJc w:val="left"/>
      <w:pPr>
        <w:ind w:left="1800" w:hanging="360"/>
      </w:pPr>
      <w:rPr>
        <w:rFonts w:hint="default"/>
      </w:rPr>
    </w:lvl>
    <w:lvl w:ilvl="5">
      <w:start w:val="1"/>
      <w:numFmt w:val="decimal"/>
      <w:lvlRestart w:val="1"/>
      <w:lvlText w:val="Figure %1.%6"/>
      <w:lvlJc w:val="left"/>
      <w:pPr>
        <w:tabs>
          <w:tab w:val="num" w:pos="1191"/>
        </w:tabs>
        <w:ind w:left="0" w:firstLine="0"/>
      </w:pPr>
      <w:rPr>
        <w:rFonts w:hint="default"/>
      </w:rPr>
    </w:lvl>
    <w:lvl w:ilvl="6">
      <w:start w:val="1"/>
      <w:numFmt w:val="decimal"/>
      <w:lvlRestart w:val="1"/>
      <w:lvlText w:val="Box %1.%7"/>
      <w:lvlJc w:val="left"/>
      <w:pPr>
        <w:tabs>
          <w:tab w:val="num" w:pos="964"/>
        </w:tabs>
        <w:ind w:left="0" w:firstLine="0"/>
      </w:pPr>
      <w:rPr>
        <w:rFonts w:hint="default"/>
      </w:rPr>
    </w:lvl>
    <w:lvl w:ilvl="7">
      <w:start w:val="1"/>
      <w:numFmt w:val="decimal"/>
      <w:lvlRestart w:val="1"/>
      <w:lvlText w:val="Table %1.%8"/>
      <w:lvlJc w:val="left"/>
      <w:pPr>
        <w:tabs>
          <w:tab w:val="num" w:pos="1134"/>
        </w:tabs>
        <w:ind w:left="0" w:firstLine="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3A482B"/>
    <w:multiLevelType w:val="hybridMultilevel"/>
    <w:tmpl w:val="EEF83242"/>
    <w:lvl w:ilvl="0" w:tplc="664AAC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32255"/>
    <w:multiLevelType w:val="hybridMultilevel"/>
    <w:tmpl w:val="978A2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E02A1F"/>
    <w:multiLevelType w:val="multilevel"/>
    <w:tmpl w:val="180839FE"/>
    <w:styleLink w:val="RPCheadingsliststyle"/>
    <w:lvl w:ilvl="0">
      <w:start w:val="1"/>
      <w:numFmt w:val="decimal"/>
      <w:lvlText w:val="%1"/>
      <w:lvlJc w:val="left"/>
      <w:pPr>
        <w:tabs>
          <w:tab w:val="num" w:pos="357"/>
        </w:tabs>
        <w:ind w:left="360" w:hanging="36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decimal"/>
      <w:lvlRestart w:val="1"/>
      <w:lvlText w:val="Figure %1.%6"/>
      <w:lvlJc w:val="left"/>
      <w:pPr>
        <w:tabs>
          <w:tab w:val="num" w:pos="1191"/>
        </w:tabs>
        <w:ind w:left="1191" w:hanging="1191"/>
      </w:pPr>
      <w:rPr>
        <w:rFonts w:hint="default"/>
      </w:rPr>
    </w:lvl>
    <w:lvl w:ilvl="6">
      <w:start w:val="1"/>
      <w:numFmt w:val="decimal"/>
      <w:lvlRestart w:val="1"/>
      <w:lvlText w:val="Box %1.%7"/>
      <w:lvlJc w:val="left"/>
      <w:pPr>
        <w:tabs>
          <w:tab w:val="num" w:pos="964"/>
        </w:tabs>
        <w:ind w:left="964" w:hanging="964"/>
      </w:pPr>
      <w:rPr>
        <w:rFonts w:hint="default"/>
      </w:rPr>
    </w:lvl>
    <w:lvl w:ilvl="7">
      <w:start w:val="1"/>
      <w:numFmt w:val="decimal"/>
      <w:lvlRestart w:val="1"/>
      <w:lvlText w:val="Table %1.%8"/>
      <w:lvlJc w:val="left"/>
      <w:pPr>
        <w:tabs>
          <w:tab w:val="num" w:pos="1134"/>
        </w:tabs>
        <w:ind w:left="1134" w:hanging="1134"/>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2B97005"/>
    <w:multiLevelType w:val="hybridMultilevel"/>
    <w:tmpl w:val="BCE65F3C"/>
    <w:lvl w:ilvl="0" w:tplc="E7FAFF68">
      <w:start w:val="1"/>
      <w:numFmt w:val="decimal"/>
      <w:lvlText w:val="%1."/>
      <w:lvlJc w:val="left"/>
      <w:pPr>
        <w:ind w:left="786" w:hanging="360"/>
      </w:pPr>
      <w:rPr>
        <w:rFonts w:cs="Calibri"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8" w15:restartNumberingAfterBreak="0">
    <w:nsid w:val="13597CF9"/>
    <w:multiLevelType w:val="multilevel"/>
    <w:tmpl w:val="B478DFE6"/>
    <w:numStyleLink w:val="AERnumberedlist"/>
  </w:abstractNum>
  <w:abstractNum w:abstractNumId="9" w15:restartNumberingAfterBreak="0">
    <w:nsid w:val="14A65ADB"/>
    <w:multiLevelType w:val="hybridMultilevel"/>
    <w:tmpl w:val="3034C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61E38"/>
    <w:multiLevelType w:val="hybridMultilevel"/>
    <w:tmpl w:val="B94AD812"/>
    <w:lvl w:ilvl="0" w:tplc="E7509834">
      <w:start w:val="1"/>
      <w:numFmt w:val="bullet"/>
      <w:pStyle w:val="Bullets"/>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AD45FAD"/>
    <w:multiLevelType w:val="hybridMultilevel"/>
    <w:tmpl w:val="06BEF97E"/>
    <w:lvl w:ilvl="0" w:tplc="6F8271BE">
      <w:start w:val="1"/>
      <w:numFmt w:val="bullet"/>
      <w:pStyle w:val="BulletRPClas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AD7E80"/>
    <w:multiLevelType w:val="multilevel"/>
    <w:tmpl w:val="27B6D744"/>
    <w:lvl w:ilvl="0">
      <w:start w:val="1"/>
      <w:numFmt w:val="decimal"/>
      <w:lvlText w:val="%1"/>
      <w:lvlJc w:val="left"/>
      <w:pPr>
        <w:tabs>
          <w:tab w:val="num" w:pos="357"/>
        </w:tabs>
        <w:ind w:left="360" w:hanging="360"/>
      </w:pPr>
      <w:rPr>
        <w:rFonts w:hint="default"/>
      </w:rPr>
    </w:lvl>
    <w:lvl w:ilvl="1">
      <w:start w:val="1"/>
      <w:numFmt w:val="decimal"/>
      <w:lvlText w:val="%2."/>
      <w:lvlJc w:val="left"/>
      <w:pPr>
        <w:ind w:left="360" w:hanging="36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decimal"/>
      <w:lvlRestart w:val="1"/>
      <w:lvlText w:val="Figure %1.%6"/>
      <w:lvlJc w:val="left"/>
      <w:pPr>
        <w:tabs>
          <w:tab w:val="num" w:pos="1191"/>
        </w:tabs>
        <w:ind w:left="1191" w:hanging="1191"/>
      </w:pPr>
      <w:rPr>
        <w:rFonts w:hint="default"/>
      </w:rPr>
    </w:lvl>
    <w:lvl w:ilvl="6">
      <w:start w:val="1"/>
      <w:numFmt w:val="decimal"/>
      <w:lvlRestart w:val="1"/>
      <w:lvlText w:val="Box %1.%7"/>
      <w:lvlJc w:val="left"/>
      <w:pPr>
        <w:tabs>
          <w:tab w:val="num" w:pos="964"/>
        </w:tabs>
        <w:ind w:left="964" w:hanging="964"/>
      </w:pPr>
      <w:rPr>
        <w:rFonts w:hint="default"/>
      </w:rPr>
    </w:lvl>
    <w:lvl w:ilvl="7">
      <w:start w:val="1"/>
      <w:numFmt w:val="decimal"/>
      <w:lvlRestart w:val="1"/>
      <w:lvlText w:val="Table %1.%8"/>
      <w:lvlJc w:val="left"/>
      <w:pPr>
        <w:tabs>
          <w:tab w:val="num" w:pos="1134"/>
        </w:tabs>
        <w:ind w:left="1134" w:hanging="1134"/>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2DC1916"/>
    <w:multiLevelType w:val="multilevel"/>
    <w:tmpl w:val="27B6D744"/>
    <w:lvl w:ilvl="0">
      <w:start w:val="1"/>
      <w:numFmt w:val="decimal"/>
      <w:lvlText w:val="%1"/>
      <w:lvlJc w:val="left"/>
      <w:pPr>
        <w:tabs>
          <w:tab w:val="num" w:pos="357"/>
        </w:tabs>
        <w:ind w:left="360" w:hanging="360"/>
      </w:pPr>
      <w:rPr>
        <w:rFonts w:hint="default"/>
      </w:rPr>
    </w:lvl>
    <w:lvl w:ilvl="1">
      <w:start w:val="1"/>
      <w:numFmt w:val="decimal"/>
      <w:lvlText w:val="%2."/>
      <w:lvlJc w:val="left"/>
      <w:pPr>
        <w:ind w:left="360" w:hanging="36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decimal"/>
      <w:lvlRestart w:val="1"/>
      <w:lvlText w:val="Figure %1.%6"/>
      <w:lvlJc w:val="left"/>
      <w:pPr>
        <w:tabs>
          <w:tab w:val="num" w:pos="1191"/>
        </w:tabs>
        <w:ind w:left="1191" w:hanging="1191"/>
      </w:pPr>
      <w:rPr>
        <w:rFonts w:hint="default"/>
      </w:rPr>
    </w:lvl>
    <w:lvl w:ilvl="6">
      <w:start w:val="1"/>
      <w:numFmt w:val="decimal"/>
      <w:lvlRestart w:val="1"/>
      <w:lvlText w:val="Box %1.%7"/>
      <w:lvlJc w:val="left"/>
      <w:pPr>
        <w:tabs>
          <w:tab w:val="num" w:pos="964"/>
        </w:tabs>
        <w:ind w:left="964" w:hanging="964"/>
      </w:pPr>
      <w:rPr>
        <w:rFonts w:hint="default"/>
      </w:rPr>
    </w:lvl>
    <w:lvl w:ilvl="7">
      <w:start w:val="1"/>
      <w:numFmt w:val="decimal"/>
      <w:lvlRestart w:val="1"/>
      <w:lvlText w:val="Table %1.%8"/>
      <w:lvlJc w:val="left"/>
      <w:pPr>
        <w:tabs>
          <w:tab w:val="num" w:pos="1134"/>
        </w:tabs>
        <w:ind w:left="1134" w:hanging="1134"/>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2A937711"/>
    <w:multiLevelType w:val="multilevel"/>
    <w:tmpl w:val="000C4300"/>
    <w:lvl w:ilvl="0">
      <w:start w:val="1"/>
      <w:numFmt w:val="decimal"/>
      <w:lvlText w:val="%1"/>
      <w:lvlJc w:val="left"/>
      <w:pPr>
        <w:tabs>
          <w:tab w:val="num" w:pos="357"/>
        </w:tabs>
        <w:ind w:left="360" w:hanging="36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decimal"/>
      <w:lvlRestart w:val="1"/>
      <w:lvlText w:val="Figure %1.%6"/>
      <w:lvlJc w:val="left"/>
      <w:pPr>
        <w:tabs>
          <w:tab w:val="num" w:pos="1191"/>
        </w:tabs>
        <w:ind w:left="1191" w:hanging="1191"/>
      </w:pPr>
      <w:rPr>
        <w:rFonts w:hint="default"/>
      </w:rPr>
    </w:lvl>
    <w:lvl w:ilvl="6">
      <w:start w:val="1"/>
      <w:numFmt w:val="decimal"/>
      <w:lvlRestart w:val="1"/>
      <w:lvlText w:val="Box %1.%7"/>
      <w:lvlJc w:val="left"/>
      <w:pPr>
        <w:tabs>
          <w:tab w:val="num" w:pos="964"/>
        </w:tabs>
        <w:ind w:left="964" w:hanging="964"/>
      </w:pPr>
      <w:rPr>
        <w:rFonts w:hint="default"/>
      </w:rPr>
    </w:lvl>
    <w:lvl w:ilvl="7">
      <w:start w:val="1"/>
      <w:numFmt w:val="decimal"/>
      <w:lvlRestart w:val="1"/>
      <w:lvlText w:val="Table %1.%8"/>
      <w:lvlJc w:val="left"/>
      <w:pPr>
        <w:tabs>
          <w:tab w:val="num" w:pos="1134"/>
        </w:tabs>
        <w:ind w:left="1134" w:hanging="1134"/>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2B482261"/>
    <w:multiLevelType w:val="hybridMultilevel"/>
    <w:tmpl w:val="CEF2C85E"/>
    <w:lvl w:ilvl="0" w:tplc="21CA9FFA">
      <w:numFmt w:val="bullet"/>
      <w:lvlText w:val="-"/>
      <w:lvlJc w:val="left"/>
      <w:pPr>
        <w:ind w:left="1086" w:hanging="360"/>
      </w:pPr>
      <w:rPr>
        <w:rFonts w:ascii="Calibri" w:eastAsia="Calibri" w:hAnsi="Calibri" w:cs="Calibri" w:hint="default"/>
      </w:rPr>
    </w:lvl>
    <w:lvl w:ilvl="1" w:tplc="08090003">
      <w:start w:val="1"/>
      <w:numFmt w:val="bullet"/>
      <w:lvlText w:val="o"/>
      <w:lvlJc w:val="left"/>
      <w:pPr>
        <w:ind w:left="1806" w:hanging="360"/>
      </w:pPr>
      <w:rPr>
        <w:rFonts w:ascii="Courier New" w:hAnsi="Courier New" w:cs="Courier New" w:hint="default"/>
      </w:rPr>
    </w:lvl>
    <w:lvl w:ilvl="2" w:tplc="08090005" w:tentative="1">
      <w:start w:val="1"/>
      <w:numFmt w:val="bullet"/>
      <w:lvlText w:val=""/>
      <w:lvlJc w:val="left"/>
      <w:pPr>
        <w:ind w:left="2526" w:hanging="360"/>
      </w:pPr>
      <w:rPr>
        <w:rFonts w:ascii="Wingdings" w:hAnsi="Wingdings" w:hint="default"/>
      </w:rPr>
    </w:lvl>
    <w:lvl w:ilvl="3" w:tplc="08090001" w:tentative="1">
      <w:start w:val="1"/>
      <w:numFmt w:val="bullet"/>
      <w:lvlText w:val=""/>
      <w:lvlJc w:val="left"/>
      <w:pPr>
        <w:ind w:left="3246" w:hanging="360"/>
      </w:pPr>
      <w:rPr>
        <w:rFonts w:ascii="Symbol" w:hAnsi="Symbol" w:hint="default"/>
      </w:rPr>
    </w:lvl>
    <w:lvl w:ilvl="4" w:tplc="08090003" w:tentative="1">
      <w:start w:val="1"/>
      <w:numFmt w:val="bullet"/>
      <w:lvlText w:val="o"/>
      <w:lvlJc w:val="left"/>
      <w:pPr>
        <w:ind w:left="3966" w:hanging="360"/>
      </w:pPr>
      <w:rPr>
        <w:rFonts w:ascii="Courier New" w:hAnsi="Courier New" w:cs="Courier New" w:hint="default"/>
      </w:rPr>
    </w:lvl>
    <w:lvl w:ilvl="5" w:tplc="08090005" w:tentative="1">
      <w:start w:val="1"/>
      <w:numFmt w:val="bullet"/>
      <w:lvlText w:val=""/>
      <w:lvlJc w:val="left"/>
      <w:pPr>
        <w:ind w:left="4686" w:hanging="360"/>
      </w:pPr>
      <w:rPr>
        <w:rFonts w:ascii="Wingdings" w:hAnsi="Wingdings" w:hint="default"/>
      </w:rPr>
    </w:lvl>
    <w:lvl w:ilvl="6" w:tplc="08090001" w:tentative="1">
      <w:start w:val="1"/>
      <w:numFmt w:val="bullet"/>
      <w:lvlText w:val=""/>
      <w:lvlJc w:val="left"/>
      <w:pPr>
        <w:ind w:left="5406" w:hanging="360"/>
      </w:pPr>
      <w:rPr>
        <w:rFonts w:ascii="Symbol" w:hAnsi="Symbol" w:hint="default"/>
      </w:rPr>
    </w:lvl>
    <w:lvl w:ilvl="7" w:tplc="08090003" w:tentative="1">
      <w:start w:val="1"/>
      <w:numFmt w:val="bullet"/>
      <w:lvlText w:val="o"/>
      <w:lvlJc w:val="left"/>
      <w:pPr>
        <w:ind w:left="6126" w:hanging="360"/>
      </w:pPr>
      <w:rPr>
        <w:rFonts w:ascii="Courier New" w:hAnsi="Courier New" w:cs="Courier New" w:hint="default"/>
      </w:rPr>
    </w:lvl>
    <w:lvl w:ilvl="8" w:tplc="08090005" w:tentative="1">
      <w:start w:val="1"/>
      <w:numFmt w:val="bullet"/>
      <w:lvlText w:val=""/>
      <w:lvlJc w:val="left"/>
      <w:pPr>
        <w:ind w:left="6846" w:hanging="360"/>
      </w:pPr>
      <w:rPr>
        <w:rFonts w:ascii="Wingdings" w:hAnsi="Wingdings" w:hint="default"/>
      </w:rPr>
    </w:lvl>
  </w:abstractNum>
  <w:abstractNum w:abstractNumId="16" w15:restartNumberingAfterBreak="0">
    <w:nsid w:val="2D902E26"/>
    <w:multiLevelType w:val="hybridMultilevel"/>
    <w:tmpl w:val="BCE65F3C"/>
    <w:lvl w:ilvl="0" w:tplc="E7FAFF68">
      <w:start w:val="1"/>
      <w:numFmt w:val="decimal"/>
      <w:lvlText w:val="%1."/>
      <w:lvlJc w:val="left"/>
      <w:pPr>
        <w:ind w:left="786" w:hanging="360"/>
      </w:pPr>
      <w:rPr>
        <w:rFonts w:cs="Calibri"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2EC02703"/>
    <w:multiLevelType w:val="hybridMultilevel"/>
    <w:tmpl w:val="622214CE"/>
    <w:lvl w:ilvl="0" w:tplc="A934A5CC">
      <w:start w:val="1"/>
      <w:numFmt w:val="decimal"/>
      <w:pStyle w:val="ListnumberedRPC"/>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237DB5"/>
    <w:multiLevelType w:val="hybridMultilevel"/>
    <w:tmpl w:val="B7A48B70"/>
    <w:lvl w:ilvl="0" w:tplc="0382E480">
      <w:start w:val="1"/>
      <w:numFmt w:val="bullet"/>
      <w:pStyle w:val="BulletsRPC"/>
      <w:lvlText w:val=""/>
      <w:lvlJc w:val="left"/>
      <w:pPr>
        <w:ind w:left="360" w:hanging="360"/>
      </w:pPr>
      <w:rPr>
        <w:rFonts w:ascii="Symbol" w:hAnsi="Symbol" w:hint="default"/>
        <w:color w:val="auto"/>
      </w:rPr>
    </w:lvl>
    <w:lvl w:ilvl="1" w:tplc="A4C0CB5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816F70"/>
    <w:multiLevelType w:val="hybridMultilevel"/>
    <w:tmpl w:val="EEF83242"/>
    <w:lvl w:ilvl="0" w:tplc="664AAC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1732FA"/>
    <w:multiLevelType w:val="hybridMultilevel"/>
    <w:tmpl w:val="A634B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2D156A"/>
    <w:multiLevelType w:val="hybridMultilevel"/>
    <w:tmpl w:val="63203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5E50F5"/>
    <w:multiLevelType w:val="multilevel"/>
    <w:tmpl w:val="27B6D744"/>
    <w:lvl w:ilvl="0">
      <w:start w:val="1"/>
      <w:numFmt w:val="decimal"/>
      <w:lvlText w:val="%1"/>
      <w:lvlJc w:val="left"/>
      <w:pPr>
        <w:tabs>
          <w:tab w:val="num" w:pos="357"/>
        </w:tabs>
        <w:ind w:left="360" w:hanging="360"/>
      </w:pPr>
      <w:rPr>
        <w:rFonts w:hint="default"/>
      </w:rPr>
    </w:lvl>
    <w:lvl w:ilvl="1">
      <w:start w:val="1"/>
      <w:numFmt w:val="decimal"/>
      <w:lvlText w:val="%2."/>
      <w:lvlJc w:val="left"/>
      <w:pPr>
        <w:ind w:left="360" w:hanging="36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decimal"/>
      <w:lvlRestart w:val="1"/>
      <w:lvlText w:val="Figure %1.%6"/>
      <w:lvlJc w:val="left"/>
      <w:pPr>
        <w:tabs>
          <w:tab w:val="num" w:pos="1191"/>
        </w:tabs>
        <w:ind w:left="1191" w:hanging="1191"/>
      </w:pPr>
      <w:rPr>
        <w:rFonts w:hint="default"/>
      </w:rPr>
    </w:lvl>
    <w:lvl w:ilvl="6">
      <w:start w:val="1"/>
      <w:numFmt w:val="decimal"/>
      <w:lvlRestart w:val="1"/>
      <w:lvlText w:val="Box %1.%7"/>
      <w:lvlJc w:val="left"/>
      <w:pPr>
        <w:tabs>
          <w:tab w:val="num" w:pos="964"/>
        </w:tabs>
        <w:ind w:left="964" w:hanging="964"/>
      </w:pPr>
      <w:rPr>
        <w:rFonts w:hint="default"/>
      </w:rPr>
    </w:lvl>
    <w:lvl w:ilvl="7">
      <w:start w:val="1"/>
      <w:numFmt w:val="decimal"/>
      <w:lvlRestart w:val="1"/>
      <w:lvlText w:val="Table %1.%8"/>
      <w:lvlJc w:val="left"/>
      <w:pPr>
        <w:tabs>
          <w:tab w:val="num" w:pos="1134"/>
        </w:tabs>
        <w:ind w:left="1134" w:hanging="1134"/>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39250A9E"/>
    <w:multiLevelType w:val="hybridMultilevel"/>
    <w:tmpl w:val="E57C6BF0"/>
    <w:lvl w:ilvl="0" w:tplc="0809000F">
      <w:start w:val="1"/>
      <w:numFmt w:val="decimal"/>
      <w:lvlText w:val="%1."/>
      <w:lvlJc w:val="left"/>
      <w:pPr>
        <w:ind w:left="420" w:hanging="360"/>
      </w:p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4" w15:restartNumberingAfterBreak="0">
    <w:nsid w:val="3942607F"/>
    <w:multiLevelType w:val="hybridMultilevel"/>
    <w:tmpl w:val="ECBA5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8812E0"/>
    <w:multiLevelType w:val="hybridMultilevel"/>
    <w:tmpl w:val="7D50D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AA4832"/>
    <w:multiLevelType w:val="hybridMultilevel"/>
    <w:tmpl w:val="E70EA55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4F2D2AA0"/>
    <w:multiLevelType w:val="hybridMultilevel"/>
    <w:tmpl w:val="CCAA1CBA"/>
    <w:lvl w:ilvl="0" w:tplc="211445B4">
      <w:start w:val="1"/>
      <w:numFmt w:val="bullet"/>
      <w:pStyle w:val="BulletsRPC2"/>
      <w:lvlText w:val="○"/>
      <w:lvlJc w:val="left"/>
      <w:pPr>
        <w:ind w:left="1778" w:hanging="360"/>
      </w:pPr>
      <w:rPr>
        <w:rFonts w:ascii="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8" w15:restartNumberingAfterBreak="0">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AB93E40"/>
    <w:multiLevelType w:val="hybridMultilevel"/>
    <w:tmpl w:val="A634B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E679F7"/>
    <w:multiLevelType w:val="hybridMultilevel"/>
    <w:tmpl w:val="B80C4F96"/>
    <w:lvl w:ilvl="0" w:tplc="A6CEB7A2">
      <w:start w:val="1"/>
      <w:numFmt w:val="bullet"/>
      <w:pStyle w:val="AERBullet1"/>
      <w:lvlText w:val=""/>
      <w:lvlJc w:val="left"/>
      <w:pPr>
        <w:tabs>
          <w:tab w:val="num" w:pos="360"/>
        </w:tabs>
        <w:ind w:left="360" w:hanging="360"/>
      </w:pPr>
      <w:rPr>
        <w:rFonts w:ascii="Wingdings" w:hAnsi="Wingdings" w:hint="default"/>
        <w:sz w:val="28"/>
        <w:szCs w:val="28"/>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C903FC8"/>
    <w:multiLevelType w:val="hybridMultilevel"/>
    <w:tmpl w:val="BB6A6562"/>
    <w:lvl w:ilvl="0" w:tplc="7CE0009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BA1BCF"/>
    <w:multiLevelType w:val="hybridMultilevel"/>
    <w:tmpl w:val="BCE65F3C"/>
    <w:lvl w:ilvl="0" w:tplc="E7FAFF68">
      <w:start w:val="1"/>
      <w:numFmt w:val="decimal"/>
      <w:lvlText w:val="%1."/>
      <w:lvlJc w:val="left"/>
      <w:pPr>
        <w:ind w:left="786" w:hanging="360"/>
      </w:pPr>
      <w:rPr>
        <w:rFonts w:cs="Calibri"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78035324"/>
    <w:multiLevelType w:val="hybridMultilevel"/>
    <w:tmpl w:val="A8FE900A"/>
    <w:lvl w:ilvl="0" w:tplc="30090001">
      <w:start w:val="1"/>
      <w:numFmt w:val="bullet"/>
      <w:lvlText w:val=""/>
      <w:lvlJc w:val="left"/>
      <w:pPr>
        <w:ind w:left="780" w:hanging="360"/>
      </w:pPr>
      <w:rPr>
        <w:rFonts w:ascii="Symbol" w:hAnsi="Symbol" w:hint="default"/>
      </w:rPr>
    </w:lvl>
    <w:lvl w:ilvl="1" w:tplc="30090003" w:tentative="1">
      <w:start w:val="1"/>
      <w:numFmt w:val="bullet"/>
      <w:lvlText w:val="o"/>
      <w:lvlJc w:val="left"/>
      <w:pPr>
        <w:ind w:left="1500" w:hanging="360"/>
      </w:pPr>
      <w:rPr>
        <w:rFonts w:ascii="Courier New" w:hAnsi="Courier New" w:cs="Courier New" w:hint="default"/>
      </w:rPr>
    </w:lvl>
    <w:lvl w:ilvl="2" w:tplc="30090005" w:tentative="1">
      <w:start w:val="1"/>
      <w:numFmt w:val="bullet"/>
      <w:lvlText w:val=""/>
      <w:lvlJc w:val="left"/>
      <w:pPr>
        <w:ind w:left="2220" w:hanging="360"/>
      </w:pPr>
      <w:rPr>
        <w:rFonts w:ascii="Wingdings" w:hAnsi="Wingdings" w:hint="default"/>
      </w:rPr>
    </w:lvl>
    <w:lvl w:ilvl="3" w:tplc="30090001" w:tentative="1">
      <w:start w:val="1"/>
      <w:numFmt w:val="bullet"/>
      <w:lvlText w:val=""/>
      <w:lvlJc w:val="left"/>
      <w:pPr>
        <w:ind w:left="2940" w:hanging="360"/>
      </w:pPr>
      <w:rPr>
        <w:rFonts w:ascii="Symbol" w:hAnsi="Symbol" w:hint="default"/>
      </w:rPr>
    </w:lvl>
    <w:lvl w:ilvl="4" w:tplc="30090003" w:tentative="1">
      <w:start w:val="1"/>
      <w:numFmt w:val="bullet"/>
      <w:lvlText w:val="o"/>
      <w:lvlJc w:val="left"/>
      <w:pPr>
        <w:ind w:left="3660" w:hanging="360"/>
      </w:pPr>
      <w:rPr>
        <w:rFonts w:ascii="Courier New" w:hAnsi="Courier New" w:cs="Courier New" w:hint="default"/>
      </w:rPr>
    </w:lvl>
    <w:lvl w:ilvl="5" w:tplc="30090005" w:tentative="1">
      <w:start w:val="1"/>
      <w:numFmt w:val="bullet"/>
      <w:lvlText w:val=""/>
      <w:lvlJc w:val="left"/>
      <w:pPr>
        <w:ind w:left="4380" w:hanging="360"/>
      </w:pPr>
      <w:rPr>
        <w:rFonts w:ascii="Wingdings" w:hAnsi="Wingdings" w:hint="default"/>
      </w:rPr>
    </w:lvl>
    <w:lvl w:ilvl="6" w:tplc="30090001" w:tentative="1">
      <w:start w:val="1"/>
      <w:numFmt w:val="bullet"/>
      <w:lvlText w:val=""/>
      <w:lvlJc w:val="left"/>
      <w:pPr>
        <w:ind w:left="5100" w:hanging="360"/>
      </w:pPr>
      <w:rPr>
        <w:rFonts w:ascii="Symbol" w:hAnsi="Symbol" w:hint="default"/>
      </w:rPr>
    </w:lvl>
    <w:lvl w:ilvl="7" w:tplc="30090003" w:tentative="1">
      <w:start w:val="1"/>
      <w:numFmt w:val="bullet"/>
      <w:lvlText w:val="o"/>
      <w:lvlJc w:val="left"/>
      <w:pPr>
        <w:ind w:left="5820" w:hanging="360"/>
      </w:pPr>
      <w:rPr>
        <w:rFonts w:ascii="Courier New" w:hAnsi="Courier New" w:cs="Courier New" w:hint="default"/>
      </w:rPr>
    </w:lvl>
    <w:lvl w:ilvl="8" w:tplc="30090005" w:tentative="1">
      <w:start w:val="1"/>
      <w:numFmt w:val="bullet"/>
      <w:lvlText w:val=""/>
      <w:lvlJc w:val="left"/>
      <w:pPr>
        <w:ind w:left="6540" w:hanging="360"/>
      </w:pPr>
      <w:rPr>
        <w:rFonts w:ascii="Wingdings" w:hAnsi="Wingdings" w:hint="default"/>
      </w:rPr>
    </w:lvl>
  </w:abstractNum>
  <w:num w:numId="1">
    <w:abstractNumId w:val="27"/>
  </w:num>
  <w:num w:numId="2">
    <w:abstractNumId w:val="17"/>
    <w:lvlOverride w:ilvl="0">
      <w:startOverride w:val="1"/>
    </w:lvlOverride>
  </w:num>
  <w:num w:numId="3">
    <w:abstractNumId w:val="2"/>
  </w:num>
  <w:num w:numId="4">
    <w:abstractNumId w:val="5"/>
  </w:num>
  <w:num w:numId="5">
    <w:abstractNumId w:val="18"/>
  </w:num>
  <w:num w:numId="6">
    <w:abstractNumId w:val="11"/>
  </w:num>
  <w:num w:numId="7">
    <w:abstractNumId w:val="30"/>
  </w:num>
  <w:num w:numId="8">
    <w:abstractNumId w:val="28"/>
  </w:num>
  <w:num w:numId="9">
    <w:abstractNumId w:val="8"/>
  </w:num>
  <w:num w:numId="10">
    <w:abstractNumId w:val="10"/>
  </w:num>
  <w:num w:numId="11">
    <w:abstractNumId w:val="14"/>
  </w:num>
  <w:num w:numId="12">
    <w:abstractNumId w:val="31"/>
  </w:num>
  <w:num w:numId="13">
    <w:abstractNumId w:val="13"/>
  </w:num>
  <w:num w:numId="14">
    <w:abstractNumId w:val="12"/>
  </w:num>
  <w:num w:numId="15">
    <w:abstractNumId w:val="3"/>
  </w:num>
  <w:num w:numId="16">
    <w:abstractNumId w:val="23"/>
  </w:num>
  <w:num w:numId="17">
    <w:abstractNumId w:val="19"/>
  </w:num>
  <w:num w:numId="18">
    <w:abstractNumId w:val="7"/>
  </w:num>
  <w:num w:numId="19">
    <w:abstractNumId w:val="15"/>
  </w:num>
  <w:num w:numId="20">
    <w:abstractNumId w:val="16"/>
  </w:num>
  <w:num w:numId="21">
    <w:abstractNumId w:val="21"/>
  </w:num>
  <w:num w:numId="22">
    <w:abstractNumId w:val="24"/>
  </w:num>
  <w:num w:numId="23">
    <w:abstractNumId w:val="9"/>
  </w:num>
  <w:num w:numId="24">
    <w:abstractNumId w:val="32"/>
  </w:num>
  <w:num w:numId="25">
    <w:abstractNumId w:val="6"/>
  </w:num>
  <w:num w:numId="26">
    <w:abstractNumId w:val="26"/>
  </w:num>
  <w:num w:numId="27">
    <w:abstractNumId w:val="1"/>
  </w:num>
  <w:num w:numId="28">
    <w:abstractNumId w:val="33"/>
  </w:num>
  <w:num w:numId="29">
    <w:abstractNumId w:val="25"/>
  </w:num>
  <w:num w:numId="30">
    <w:abstractNumId w:val="20"/>
  </w:num>
  <w:num w:numId="31">
    <w:abstractNumId w:val="22"/>
  </w:num>
  <w:num w:numId="32">
    <w:abstractNumId w:val="29"/>
  </w:num>
  <w:num w:numId="33">
    <w:abstractNumId w:val="2"/>
  </w:num>
  <w:num w:numId="34">
    <w:abstractNumId w:val="2"/>
  </w:num>
  <w:num w:numId="35">
    <w:abstractNumId w:val="2"/>
  </w:num>
  <w:num w:numId="36">
    <w:abstractNumId w:val="4"/>
  </w:num>
  <w:num w:numId="37">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55A"/>
    <w:rsid w:val="00000DCF"/>
    <w:rsid w:val="000027B4"/>
    <w:rsid w:val="0000287A"/>
    <w:rsid w:val="000028AE"/>
    <w:rsid w:val="000035F1"/>
    <w:rsid w:val="0000378A"/>
    <w:rsid w:val="00003F14"/>
    <w:rsid w:val="000057E9"/>
    <w:rsid w:val="000058A6"/>
    <w:rsid w:val="00006687"/>
    <w:rsid w:val="00006FF6"/>
    <w:rsid w:val="000104A8"/>
    <w:rsid w:val="000107D9"/>
    <w:rsid w:val="00013932"/>
    <w:rsid w:val="000143D4"/>
    <w:rsid w:val="00014406"/>
    <w:rsid w:val="000154B7"/>
    <w:rsid w:val="000157D2"/>
    <w:rsid w:val="00015DC9"/>
    <w:rsid w:val="00016CBA"/>
    <w:rsid w:val="0001709C"/>
    <w:rsid w:val="000177A0"/>
    <w:rsid w:val="00017B6E"/>
    <w:rsid w:val="00017EE4"/>
    <w:rsid w:val="00020201"/>
    <w:rsid w:val="00022535"/>
    <w:rsid w:val="00022B7B"/>
    <w:rsid w:val="00023AF0"/>
    <w:rsid w:val="00023AF2"/>
    <w:rsid w:val="00024587"/>
    <w:rsid w:val="00025207"/>
    <w:rsid w:val="0002536E"/>
    <w:rsid w:val="00025E0D"/>
    <w:rsid w:val="00025FEE"/>
    <w:rsid w:val="0003008D"/>
    <w:rsid w:val="0003028D"/>
    <w:rsid w:val="00030B8A"/>
    <w:rsid w:val="000311C3"/>
    <w:rsid w:val="00031293"/>
    <w:rsid w:val="00031AEE"/>
    <w:rsid w:val="00031C82"/>
    <w:rsid w:val="0003283E"/>
    <w:rsid w:val="0003374B"/>
    <w:rsid w:val="0003422D"/>
    <w:rsid w:val="0003432D"/>
    <w:rsid w:val="00035E16"/>
    <w:rsid w:val="000369FE"/>
    <w:rsid w:val="00036DC9"/>
    <w:rsid w:val="0003761B"/>
    <w:rsid w:val="000406EF"/>
    <w:rsid w:val="00042074"/>
    <w:rsid w:val="0004226F"/>
    <w:rsid w:val="00043651"/>
    <w:rsid w:val="00043B64"/>
    <w:rsid w:val="00044DA2"/>
    <w:rsid w:val="00045EF3"/>
    <w:rsid w:val="00050CE8"/>
    <w:rsid w:val="000520D7"/>
    <w:rsid w:val="00052349"/>
    <w:rsid w:val="00052BF7"/>
    <w:rsid w:val="0005302D"/>
    <w:rsid w:val="00057A5D"/>
    <w:rsid w:val="00057E25"/>
    <w:rsid w:val="00057E37"/>
    <w:rsid w:val="000600B9"/>
    <w:rsid w:val="00061781"/>
    <w:rsid w:val="0006195C"/>
    <w:rsid w:val="00061D46"/>
    <w:rsid w:val="00062D1A"/>
    <w:rsid w:val="000655E0"/>
    <w:rsid w:val="00066828"/>
    <w:rsid w:val="0006695A"/>
    <w:rsid w:val="0006738A"/>
    <w:rsid w:val="000710FA"/>
    <w:rsid w:val="0007137C"/>
    <w:rsid w:val="00072798"/>
    <w:rsid w:val="00074466"/>
    <w:rsid w:val="00074C59"/>
    <w:rsid w:val="00075BB4"/>
    <w:rsid w:val="00075CD5"/>
    <w:rsid w:val="0007758E"/>
    <w:rsid w:val="00080836"/>
    <w:rsid w:val="00081886"/>
    <w:rsid w:val="00081A52"/>
    <w:rsid w:val="00082551"/>
    <w:rsid w:val="000833A8"/>
    <w:rsid w:val="0008343B"/>
    <w:rsid w:val="0008383C"/>
    <w:rsid w:val="000846A5"/>
    <w:rsid w:val="000846DA"/>
    <w:rsid w:val="00084A31"/>
    <w:rsid w:val="00085B9E"/>
    <w:rsid w:val="000867F9"/>
    <w:rsid w:val="0009059F"/>
    <w:rsid w:val="00090C6B"/>
    <w:rsid w:val="00090DDB"/>
    <w:rsid w:val="00090FBC"/>
    <w:rsid w:val="0009297D"/>
    <w:rsid w:val="00093B0E"/>
    <w:rsid w:val="00094351"/>
    <w:rsid w:val="00094E53"/>
    <w:rsid w:val="00095921"/>
    <w:rsid w:val="000959E1"/>
    <w:rsid w:val="000970A6"/>
    <w:rsid w:val="000971C0"/>
    <w:rsid w:val="00097E9C"/>
    <w:rsid w:val="000A0FAE"/>
    <w:rsid w:val="000A2381"/>
    <w:rsid w:val="000A2E64"/>
    <w:rsid w:val="000A3BD5"/>
    <w:rsid w:val="000A3D20"/>
    <w:rsid w:val="000A47A9"/>
    <w:rsid w:val="000A53C7"/>
    <w:rsid w:val="000A5AFB"/>
    <w:rsid w:val="000A762F"/>
    <w:rsid w:val="000A79F0"/>
    <w:rsid w:val="000B14D6"/>
    <w:rsid w:val="000B2CAA"/>
    <w:rsid w:val="000B4340"/>
    <w:rsid w:val="000B5710"/>
    <w:rsid w:val="000B593D"/>
    <w:rsid w:val="000B61ED"/>
    <w:rsid w:val="000C08F8"/>
    <w:rsid w:val="000C1213"/>
    <w:rsid w:val="000C2241"/>
    <w:rsid w:val="000C29B8"/>
    <w:rsid w:val="000C38A3"/>
    <w:rsid w:val="000C3DCE"/>
    <w:rsid w:val="000C5908"/>
    <w:rsid w:val="000C5C1C"/>
    <w:rsid w:val="000C5E21"/>
    <w:rsid w:val="000C6122"/>
    <w:rsid w:val="000C68B6"/>
    <w:rsid w:val="000C719F"/>
    <w:rsid w:val="000C736C"/>
    <w:rsid w:val="000D032F"/>
    <w:rsid w:val="000D0690"/>
    <w:rsid w:val="000D19BD"/>
    <w:rsid w:val="000D1D67"/>
    <w:rsid w:val="000D2520"/>
    <w:rsid w:val="000D3469"/>
    <w:rsid w:val="000D3E44"/>
    <w:rsid w:val="000D6941"/>
    <w:rsid w:val="000D6F1B"/>
    <w:rsid w:val="000D7FAB"/>
    <w:rsid w:val="000E02AA"/>
    <w:rsid w:val="000E0710"/>
    <w:rsid w:val="000E0962"/>
    <w:rsid w:val="000E14F3"/>
    <w:rsid w:val="000E243B"/>
    <w:rsid w:val="000E270B"/>
    <w:rsid w:val="000E2AE6"/>
    <w:rsid w:val="000E32BD"/>
    <w:rsid w:val="000E4254"/>
    <w:rsid w:val="000E4858"/>
    <w:rsid w:val="000E48A6"/>
    <w:rsid w:val="000E5B19"/>
    <w:rsid w:val="000E6F95"/>
    <w:rsid w:val="000F0D56"/>
    <w:rsid w:val="000F32EE"/>
    <w:rsid w:val="000F4655"/>
    <w:rsid w:val="000F5AF2"/>
    <w:rsid w:val="000F5FD3"/>
    <w:rsid w:val="000F6F22"/>
    <w:rsid w:val="000F72D2"/>
    <w:rsid w:val="000F74B8"/>
    <w:rsid w:val="000F7DCD"/>
    <w:rsid w:val="0010119A"/>
    <w:rsid w:val="00102387"/>
    <w:rsid w:val="001032F3"/>
    <w:rsid w:val="0010426C"/>
    <w:rsid w:val="00104383"/>
    <w:rsid w:val="00104B42"/>
    <w:rsid w:val="00112719"/>
    <w:rsid w:val="001130A0"/>
    <w:rsid w:val="0011426A"/>
    <w:rsid w:val="00117516"/>
    <w:rsid w:val="001175BD"/>
    <w:rsid w:val="00117A7B"/>
    <w:rsid w:val="00120157"/>
    <w:rsid w:val="00120CA0"/>
    <w:rsid w:val="00121662"/>
    <w:rsid w:val="00122448"/>
    <w:rsid w:val="00123A84"/>
    <w:rsid w:val="0012409E"/>
    <w:rsid w:val="00124527"/>
    <w:rsid w:val="00124952"/>
    <w:rsid w:val="00124EE8"/>
    <w:rsid w:val="00125820"/>
    <w:rsid w:val="00125B1A"/>
    <w:rsid w:val="0012681A"/>
    <w:rsid w:val="001269D6"/>
    <w:rsid w:val="00127952"/>
    <w:rsid w:val="00131208"/>
    <w:rsid w:val="00131ECB"/>
    <w:rsid w:val="001329F2"/>
    <w:rsid w:val="001333FF"/>
    <w:rsid w:val="001337D8"/>
    <w:rsid w:val="0013422D"/>
    <w:rsid w:val="00135ECC"/>
    <w:rsid w:val="0013660E"/>
    <w:rsid w:val="00136EDE"/>
    <w:rsid w:val="00140252"/>
    <w:rsid w:val="00140988"/>
    <w:rsid w:val="00140CB4"/>
    <w:rsid w:val="00140EBB"/>
    <w:rsid w:val="001418EA"/>
    <w:rsid w:val="00141963"/>
    <w:rsid w:val="00141F50"/>
    <w:rsid w:val="0014246B"/>
    <w:rsid w:val="00142496"/>
    <w:rsid w:val="0014314B"/>
    <w:rsid w:val="00143464"/>
    <w:rsid w:val="00143A69"/>
    <w:rsid w:val="00145B58"/>
    <w:rsid w:val="001461A0"/>
    <w:rsid w:val="0015023F"/>
    <w:rsid w:val="001513C7"/>
    <w:rsid w:val="0015178F"/>
    <w:rsid w:val="00151C63"/>
    <w:rsid w:val="001554D1"/>
    <w:rsid w:val="00156AF0"/>
    <w:rsid w:val="00157376"/>
    <w:rsid w:val="001576ED"/>
    <w:rsid w:val="00160172"/>
    <w:rsid w:val="001608D8"/>
    <w:rsid w:val="00160CFE"/>
    <w:rsid w:val="001610B3"/>
    <w:rsid w:val="001615CE"/>
    <w:rsid w:val="0016375C"/>
    <w:rsid w:val="0016455F"/>
    <w:rsid w:val="0016481B"/>
    <w:rsid w:val="00165149"/>
    <w:rsid w:val="00165D20"/>
    <w:rsid w:val="00167610"/>
    <w:rsid w:val="00167A4E"/>
    <w:rsid w:val="00170633"/>
    <w:rsid w:val="00170777"/>
    <w:rsid w:val="00171744"/>
    <w:rsid w:val="00172225"/>
    <w:rsid w:val="00172581"/>
    <w:rsid w:val="00172586"/>
    <w:rsid w:val="00172886"/>
    <w:rsid w:val="00172FB6"/>
    <w:rsid w:val="00173A05"/>
    <w:rsid w:val="00173D12"/>
    <w:rsid w:val="00174930"/>
    <w:rsid w:val="00174CA6"/>
    <w:rsid w:val="00175296"/>
    <w:rsid w:val="00175E77"/>
    <w:rsid w:val="00175EA6"/>
    <w:rsid w:val="00175F49"/>
    <w:rsid w:val="00176F68"/>
    <w:rsid w:val="001772E8"/>
    <w:rsid w:val="00180C7A"/>
    <w:rsid w:val="0018152E"/>
    <w:rsid w:val="001824B2"/>
    <w:rsid w:val="001824F1"/>
    <w:rsid w:val="001829E0"/>
    <w:rsid w:val="00182F92"/>
    <w:rsid w:val="00183FFE"/>
    <w:rsid w:val="00184817"/>
    <w:rsid w:val="0018584E"/>
    <w:rsid w:val="0018599C"/>
    <w:rsid w:val="00186F09"/>
    <w:rsid w:val="00187B22"/>
    <w:rsid w:val="00190EF0"/>
    <w:rsid w:val="00191C0C"/>
    <w:rsid w:val="00192198"/>
    <w:rsid w:val="00192786"/>
    <w:rsid w:val="001928AD"/>
    <w:rsid w:val="001931A3"/>
    <w:rsid w:val="00193EDD"/>
    <w:rsid w:val="00193FEC"/>
    <w:rsid w:val="0019579D"/>
    <w:rsid w:val="001962DC"/>
    <w:rsid w:val="0019638C"/>
    <w:rsid w:val="00196DFF"/>
    <w:rsid w:val="001973D4"/>
    <w:rsid w:val="001A06D2"/>
    <w:rsid w:val="001A06EC"/>
    <w:rsid w:val="001A0BAC"/>
    <w:rsid w:val="001A18BA"/>
    <w:rsid w:val="001A1E4B"/>
    <w:rsid w:val="001A213B"/>
    <w:rsid w:val="001A2665"/>
    <w:rsid w:val="001A3BD5"/>
    <w:rsid w:val="001A4151"/>
    <w:rsid w:val="001A5CB6"/>
    <w:rsid w:val="001A6D3A"/>
    <w:rsid w:val="001A6F5C"/>
    <w:rsid w:val="001A73FB"/>
    <w:rsid w:val="001A7414"/>
    <w:rsid w:val="001A7CFF"/>
    <w:rsid w:val="001B152A"/>
    <w:rsid w:val="001B26C9"/>
    <w:rsid w:val="001B274A"/>
    <w:rsid w:val="001B3903"/>
    <w:rsid w:val="001B3AE4"/>
    <w:rsid w:val="001B4ED7"/>
    <w:rsid w:val="001B4EF9"/>
    <w:rsid w:val="001B5C33"/>
    <w:rsid w:val="001B700A"/>
    <w:rsid w:val="001B7124"/>
    <w:rsid w:val="001B733D"/>
    <w:rsid w:val="001B7AC6"/>
    <w:rsid w:val="001C1BE4"/>
    <w:rsid w:val="001C3B6F"/>
    <w:rsid w:val="001C3BD4"/>
    <w:rsid w:val="001C737B"/>
    <w:rsid w:val="001D01C6"/>
    <w:rsid w:val="001D1123"/>
    <w:rsid w:val="001D2D2C"/>
    <w:rsid w:val="001D31A8"/>
    <w:rsid w:val="001D366D"/>
    <w:rsid w:val="001D3EE5"/>
    <w:rsid w:val="001D601C"/>
    <w:rsid w:val="001D66BE"/>
    <w:rsid w:val="001E2292"/>
    <w:rsid w:val="001E284E"/>
    <w:rsid w:val="001E44C3"/>
    <w:rsid w:val="001E4EA4"/>
    <w:rsid w:val="001E52E2"/>
    <w:rsid w:val="001E5624"/>
    <w:rsid w:val="001E6D0A"/>
    <w:rsid w:val="001F0021"/>
    <w:rsid w:val="001F3C64"/>
    <w:rsid w:val="001F3EE4"/>
    <w:rsid w:val="001F4E12"/>
    <w:rsid w:val="001F4F20"/>
    <w:rsid w:val="001F51AF"/>
    <w:rsid w:val="001F5D07"/>
    <w:rsid w:val="001F7995"/>
    <w:rsid w:val="002031A0"/>
    <w:rsid w:val="002054CF"/>
    <w:rsid w:val="00205DC3"/>
    <w:rsid w:val="002061A7"/>
    <w:rsid w:val="0020648E"/>
    <w:rsid w:val="002065F7"/>
    <w:rsid w:val="002068FF"/>
    <w:rsid w:val="00206EA9"/>
    <w:rsid w:val="00206F0A"/>
    <w:rsid w:val="002070A8"/>
    <w:rsid w:val="002123B9"/>
    <w:rsid w:val="00214F5B"/>
    <w:rsid w:val="00215773"/>
    <w:rsid w:val="002161E6"/>
    <w:rsid w:val="002175E0"/>
    <w:rsid w:val="00217EEA"/>
    <w:rsid w:val="00220B40"/>
    <w:rsid w:val="002228C8"/>
    <w:rsid w:val="002229BA"/>
    <w:rsid w:val="00222ECA"/>
    <w:rsid w:val="002231A6"/>
    <w:rsid w:val="002237CB"/>
    <w:rsid w:val="00223B4A"/>
    <w:rsid w:val="002243A1"/>
    <w:rsid w:val="00224418"/>
    <w:rsid w:val="002261C8"/>
    <w:rsid w:val="00231AE2"/>
    <w:rsid w:val="00232F48"/>
    <w:rsid w:val="0023522C"/>
    <w:rsid w:val="0023693F"/>
    <w:rsid w:val="0023716F"/>
    <w:rsid w:val="002375C4"/>
    <w:rsid w:val="00240A48"/>
    <w:rsid w:val="00240E2D"/>
    <w:rsid w:val="00241906"/>
    <w:rsid w:val="00241A46"/>
    <w:rsid w:val="00242358"/>
    <w:rsid w:val="002437DC"/>
    <w:rsid w:val="00243F28"/>
    <w:rsid w:val="00244160"/>
    <w:rsid w:val="00245ADF"/>
    <w:rsid w:val="00245BD9"/>
    <w:rsid w:val="00246DA5"/>
    <w:rsid w:val="0025222C"/>
    <w:rsid w:val="002522B7"/>
    <w:rsid w:val="002529B2"/>
    <w:rsid w:val="00252DC1"/>
    <w:rsid w:val="00254754"/>
    <w:rsid w:val="002557B5"/>
    <w:rsid w:val="0025591C"/>
    <w:rsid w:val="00256108"/>
    <w:rsid w:val="00257992"/>
    <w:rsid w:val="00257FAB"/>
    <w:rsid w:val="002601C8"/>
    <w:rsid w:val="00260417"/>
    <w:rsid w:val="002628F5"/>
    <w:rsid w:val="00265C52"/>
    <w:rsid w:val="0026613D"/>
    <w:rsid w:val="0027019D"/>
    <w:rsid w:val="00270886"/>
    <w:rsid w:val="00270D13"/>
    <w:rsid w:val="00271745"/>
    <w:rsid w:val="00273327"/>
    <w:rsid w:val="00273C10"/>
    <w:rsid w:val="00273DE1"/>
    <w:rsid w:val="00274B95"/>
    <w:rsid w:val="00275A53"/>
    <w:rsid w:val="00275CED"/>
    <w:rsid w:val="00275EB2"/>
    <w:rsid w:val="00276BBC"/>
    <w:rsid w:val="00277A28"/>
    <w:rsid w:val="002805BD"/>
    <w:rsid w:val="002810CA"/>
    <w:rsid w:val="002824AA"/>
    <w:rsid w:val="002833F5"/>
    <w:rsid w:val="002839E8"/>
    <w:rsid w:val="0028448D"/>
    <w:rsid w:val="002847F1"/>
    <w:rsid w:val="0028573D"/>
    <w:rsid w:val="00285911"/>
    <w:rsid w:val="002860BB"/>
    <w:rsid w:val="00286484"/>
    <w:rsid w:val="00287592"/>
    <w:rsid w:val="00287A81"/>
    <w:rsid w:val="00287AF9"/>
    <w:rsid w:val="00287E72"/>
    <w:rsid w:val="002904D5"/>
    <w:rsid w:val="0029067D"/>
    <w:rsid w:val="0029422C"/>
    <w:rsid w:val="0029456E"/>
    <w:rsid w:val="002952CD"/>
    <w:rsid w:val="00295A34"/>
    <w:rsid w:val="00295ACC"/>
    <w:rsid w:val="00296404"/>
    <w:rsid w:val="002A0AFD"/>
    <w:rsid w:val="002A1002"/>
    <w:rsid w:val="002A1033"/>
    <w:rsid w:val="002A14DC"/>
    <w:rsid w:val="002A1CFB"/>
    <w:rsid w:val="002A201A"/>
    <w:rsid w:val="002A2085"/>
    <w:rsid w:val="002A238F"/>
    <w:rsid w:val="002A485E"/>
    <w:rsid w:val="002A503F"/>
    <w:rsid w:val="002A5103"/>
    <w:rsid w:val="002A5C59"/>
    <w:rsid w:val="002A6B00"/>
    <w:rsid w:val="002A6F00"/>
    <w:rsid w:val="002A6F77"/>
    <w:rsid w:val="002B02BC"/>
    <w:rsid w:val="002B288A"/>
    <w:rsid w:val="002B3F75"/>
    <w:rsid w:val="002B5BDB"/>
    <w:rsid w:val="002B5F70"/>
    <w:rsid w:val="002B6886"/>
    <w:rsid w:val="002B7661"/>
    <w:rsid w:val="002C03EA"/>
    <w:rsid w:val="002C154D"/>
    <w:rsid w:val="002C2808"/>
    <w:rsid w:val="002C2EE4"/>
    <w:rsid w:val="002C3D8E"/>
    <w:rsid w:val="002C449B"/>
    <w:rsid w:val="002C5204"/>
    <w:rsid w:val="002C53FF"/>
    <w:rsid w:val="002C593C"/>
    <w:rsid w:val="002C5E90"/>
    <w:rsid w:val="002C766C"/>
    <w:rsid w:val="002D0A38"/>
    <w:rsid w:val="002D1AA6"/>
    <w:rsid w:val="002D1C56"/>
    <w:rsid w:val="002D24D5"/>
    <w:rsid w:val="002D2625"/>
    <w:rsid w:val="002D2726"/>
    <w:rsid w:val="002D2BFC"/>
    <w:rsid w:val="002D39EC"/>
    <w:rsid w:val="002D3D42"/>
    <w:rsid w:val="002D3E5A"/>
    <w:rsid w:val="002D470B"/>
    <w:rsid w:val="002D49A0"/>
    <w:rsid w:val="002D6F3A"/>
    <w:rsid w:val="002D7A5C"/>
    <w:rsid w:val="002D7A5F"/>
    <w:rsid w:val="002E10FC"/>
    <w:rsid w:val="002E161A"/>
    <w:rsid w:val="002E1AA9"/>
    <w:rsid w:val="002E26BB"/>
    <w:rsid w:val="002E481F"/>
    <w:rsid w:val="002E4A73"/>
    <w:rsid w:val="002E6557"/>
    <w:rsid w:val="002E6E8F"/>
    <w:rsid w:val="002E6F4F"/>
    <w:rsid w:val="002F00E3"/>
    <w:rsid w:val="002F028F"/>
    <w:rsid w:val="002F0563"/>
    <w:rsid w:val="002F1144"/>
    <w:rsid w:val="002F12A3"/>
    <w:rsid w:val="002F212B"/>
    <w:rsid w:val="002F2427"/>
    <w:rsid w:val="002F3B99"/>
    <w:rsid w:val="002F3DE3"/>
    <w:rsid w:val="002F45A9"/>
    <w:rsid w:val="002F589C"/>
    <w:rsid w:val="002F5B42"/>
    <w:rsid w:val="002F5EB0"/>
    <w:rsid w:val="002F6F2F"/>
    <w:rsid w:val="002F7D51"/>
    <w:rsid w:val="003001E8"/>
    <w:rsid w:val="00300981"/>
    <w:rsid w:val="003010C8"/>
    <w:rsid w:val="003010E8"/>
    <w:rsid w:val="00301FD9"/>
    <w:rsid w:val="00302CE9"/>
    <w:rsid w:val="00302DB0"/>
    <w:rsid w:val="003046B5"/>
    <w:rsid w:val="00304FA3"/>
    <w:rsid w:val="00305538"/>
    <w:rsid w:val="00305775"/>
    <w:rsid w:val="003072BF"/>
    <w:rsid w:val="00307C4A"/>
    <w:rsid w:val="00311029"/>
    <w:rsid w:val="00312B5E"/>
    <w:rsid w:val="00313359"/>
    <w:rsid w:val="003135A2"/>
    <w:rsid w:val="00315AC9"/>
    <w:rsid w:val="0032088B"/>
    <w:rsid w:val="00321395"/>
    <w:rsid w:val="003227C5"/>
    <w:rsid w:val="00323861"/>
    <w:rsid w:val="0032398C"/>
    <w:rsid w:val="003261B3"/>
    <w:rsid w:val="00326EEB"/>
    <w:rsid w:val="0032759C"/>
    <w:rsid w:val="0032786A"/>
    <w:rsid w:val="00327BBC"/>
    <w:rsid w:val="00330922"/>
    <w:rsid w:val="0033201B"/>
    <w:rsid w:val="003325CF"/>
    <w:rsid w:val="00333109"/>
    <w:rsid w:val="00333854"/>
    <w:rsid w:val="00335305"/>
    <w:rsid w:val="00335729"/>
    <w:rsid w:val="00335BCA"/>
    <w:rsid w:val="0033620A"/>
    <w:rsid w:val="0033625B"/>
    <w:rsid w:val="00337147"/>
    <w:rsid w:val="003373D7"/>
    <w:rsid w:val="00337502"/>
    <w:rsid w:val="00337508"/>
    <w:rsid w:val="00340C11"/>
    <w:rsid w:val="00340E75"/>
    <w:rsid w:val="003418CD"/>
    <w:rsid w:val="003445A7"/>
    <w:rsid w:val="00345386"/>
    <w:rsid w:val="003453B0"/>
    <w:rsid w:val="0034641C"/>
    <w:rsid w:val="00347814"/>
    <w:rsid w:val="003502EA"/>
    <w:rsid w:val="0035173F"/>
    <w:rsid w:val="00351C75"/>
    <w:rsid w:val="00352084"/>
    <w:rsid w:val="00352F5A"/>
    <w:rsid w:val="003567A3"/>
    <w:rsid w:val="00356C4C"/>
    <w:rsid w:val="00357470"/>
    <w:rsid w:val="0036001C"/>
    <w:rsid w:val="003637BE"/>
    <w:rsid w:val="00363BDB"/>
    <w:rsid w:val="00363DF3"/>
    <w:rsid w:val="00364223"/>
    <w:rsid w:val="00364752"/>
    <w:rsid w:val="00364A63"/>
    <w:rsid w:val="00366C17"/>
    <w:rsid w:val="00366F1D"/>
    <w:rsid w:val="0036772E"/>
    <w:rsid w:val="0037038E"/>
    <w:rsid w:val="00370DA2"/>
    <w:rsid w:val="003713D6"/>
    <w:rsid w:val="003719FE"/>
    <w:rsid w:val="00371F0B"/>
    <w:rsid w:val="00372E25"/>
    <w:rsid w:val="00373807"/>
    <w:rsid w:val="00373E68"/>
    <w:rsid w:val="0037437D"/>
    <w:rsid w:val="00374E86"/>
    <w:rsid w:val="00375B33"/>
    <w:rsid w:val="003777FB"/>
    <w:rsid w:val="00380917"/>
    <w:rsid w:val="003814ED"/>
    <w:rsid w:val="00383766"/>
    <w:rsid w:val="0038416F"/>
    <w:rsid w:val="003843F2"/>
    <w:rsid w:val="003844C6"/>
    <w:rsid w:val="00384D26"/>
    <w:rsid w:val="00385125"/>
    <w:rsid w:val="0038657B"/>
    <w:rsid w:val="00386AC3"/>
    <w:rsid w:val="00386BB3"/>
    <w:rsid w:val="00387312"/>
    <w:rsid w:val="00387C24"/>
    <w:rsid w:val="003908FE"/>
    <w:rsid w:val="00390B8E"/>
    <w:rsid w:val="00390D48"/>
    <w:rsid w:val="0039105E"/>
    <w:rsid w:val="00391747"/>
    <w:rsid w:val="0039208C"/>
    <w:rsid w:val="003929BA"/>
    <w:rsid w:val="00393D32"/>
    <w:rsid w:val="00393FA1"/>
    <w:rsid w:val="003941F8"/>
    <w:rsid w:val="00396000"/>
    <w:rsid w:val="003964C9"/>
    <w:rsid w:val="003967B0"/>
    <w:rsid w:val="0039683E"/>
    <w:rsid w:val="003969B0"/>
    <w:rsid w:val="00397129"/>
    <w:rsid w:val="0039734D"/>
    <w:rsid w:val="0039744E"/>
    <w:rsid w:val="003A13A5"/>
    <w:rsid w:val="003A2308"/>
    <w:rsid w:val="003A25AE"/>
    <w:rsid w:val="003A28D8"/>
    <w:rsid w:val="003A365C"/>
    <w:rsid w:val="003A3D93"/>
    <w:rsid w:val="003A524D"/>
    <w:rsid w:val="003A6317"/>
    <w:rsid w:val="003A66F2"/>
    <w:rsid w:val="003A763C"/>
    <w:rsid w:val="003A7B02"/>
    <w:rsid w:val="003B02E1"/>
    <w:rsid w:val="003B17E2"/>
    <w:rsid w:val="003B191C"/>
    <w:rsid w:val="003B1967"/>
    <w:rsid w:val="003B3288"/>
    <w:rsid w:val="003B4481"/>
    <w:rsid w:val="003B5155"/>
    <w:rsid w:val="003B5A06"/>
    <w:rsid w:val="003B5E64"/>
    <w:rsid w:val="003B69E6"/>
    <w:rsid w:val="003B6B9A"/>
    <w:rsid w:val="003C0972"/>
    <w:rsid w:val="003C0D9F"/>
    <w:rsid w:val="003C17EC"/>
    <w:rsid w:val="003C2790"/>
    <w:rsid w:val="003C48EE"/>
    <w:rsid w:val="003C4F30"/>
    <w:rsid w:val="003C52A1"/>
    <w:rsid w:val="003C5658"/>
    <w:rsid w:val="003C6138"/>
    <w:rsid w:val="003C765F"/>
    <w:rsid w:val="003C7694"/>
    <w:rsid w:val="003C7B8D"/>
    <w:rsid w:val="003C7FC5"/>
    <w:rsid w:val="003D0722"/>
    <w:rsid w:val="003D2489"/>
    <w:rsid w:val="003D265C"/>
    <w:rsid w:val="003D27B4"/>
    <w:rsid w:val="003D4259"/>
    <w:rsid w:val="003D4A8C"/>
    <w:rsid w:val="003D5881"/>
    <w:rsid w:val="003D605E"/>
    <w:rsid w:val="003D7F1B"/>
    <w:rsid w:val="003E16BF"/>
    <w:rsid w:val="003E2340"/>
    <w:rsid w:val="003E2369"/>
    <w:rsid w:val="003E35D6"/>
    <w:rsid w:val="003E3AA6"/>
    <w:rsid w:val="003E3EA9"/>
    <w:rsid w:val="003E3F2D"/>
    <w:rsid w:val="003E470D"/>
    <w:rsid w:val="003E60D1"/>
    <w:rsid w:val="003E63BE"/>
    <w:rsid w:val="003E6F25"/>
    <w:rsid w:val="003E7D05"/>
    <w:rsid w:val="003F2552"/>
    <w:rsid w:val="003F59C6"/>
    <w:rsid w:val="004004F9"/>
    <w:rsid w:val="004013C9"/>
    <w:rsid w:val="00401F0D"/>
    <w:rsid w:val="004027D6"/>
    <w:rsid w:val="00404B63"/>
    <w:rsid w:val="00405889"/>
    <w:rsid w:val="00405CD0"/>
    <w:rsid w:val="0040661E"/>
    <w:rsid w:val="00406EFB"/>
    <w:rsid w:val="004108D1"/>
    <w:rsid w:val="0041217A"/>
    <w:rsid w:val="00414833"/>
    <w:rsid w:val="00414D91"/>
    <w:rsid w:val="00415A9D"/>
    <w:rsid w:val="00415AED"/>
    <w:rsid w:val="00415F8B"/>
    <w:rsid w:val="00416150"/>
    <w:rsid w:val="004165A5"/>
    <w:rsid w:val="004179EC"/>
    <w:rsid w:val="0042179C"/>
    <w:rsid w:val="00421CB5"/>
    <w:rsid w:val="00424A9C"/>
    <w:rsid w:val="00424F5D"/>
    <w:rsid w:val="00424FDF"/>
    <w:rsid w:val="004257CA"/>
    <w:rsid w:val="00427C5B"/>
    <w:rsid w:val="004315DB"/>
    <w:rsid w:val="00432D57"/>
    <w:rsid w:val="004333FB"/>
    <w:rsid w:val="0043390C"/>
    <w:rsid w:val="004346AA"/>
    <w:rsid w:val="00434A4C"/>
    <w:rsid w:val="00434D0F"/>
    <w:rsid w:val="0043532F"/>
    <w:rsid w:val="00435519"/>
    <w:rsid w:val="004356D2"/>
    <w:rsid w:val="004379B2"/>
    <w:rsid w:val="0044141B"/>
    <w:rsid w:val="004415C4"/>
    <w:rsid w:val="004430FF"/>
    <w:rsid w:val="00443634"/>
    <w:rsid w:val="0044428A"/>
    <w:rsid w:val="00444B08"/>
    <w:rsid w:val="00444B76"/>
    <w:rsid w:val="004461BC"/>
    <w:rsid w:val="00452198"/>
    <w:rsid w:val="00452309"/>
    <w:rsid w:val="00453650"/>
    <w:rsid w:val="00453C79"/>
    <w:rsid w:val="004546D5"/>
    <w:rsid w:val="004562A8"/>
    <w:rsid w:val="004570EA"/>
    <w:rsid w:val="00457707"/>
    <w:rsid w:val="00460441"/>
    <w:rsid w:val="00461CFF"/>
    <w:rsid w:val="00461F0A"/>
    <w:rsid w:val="004620B7"/>
    <w:rsid w:val="0046214A"/>
    <w:rsid w:val="0046284F"/>
    <w:rsid w:val="0046290F"/>
    <w:rsid w:val="00462973"/>
    <w:rsid w:val="00463652"/>
    <w:rsid w:val="00464262"/>
    <w:rsid w:val="00464FE4"/>
    <w:rsid w:val="00465353"/>
    <w:rsid w:val="00465CFA"/>
    <w:rsid w:val="00466A77"/>
    <w:rsid w:val="00467A50"/>
    <w:rsid w:val="00470F8F"/>
    <w:rsid w:val="00471D7A"/>
    <w:rsid w:val="00472CA1"/>
    <w:rsid w:val="00473C45"/>
    <w:rsid w:val="00474385"/>
    <w:rsid w:val="00475D34"/>
    <w:rsid w:val="0047636A"/>
    <w:rsid w:val="00476B8B"/>
    <w:rsid w:val="00477D61"/>
    <w:rsid w:val="00480AD8"/>
    <w:rsid w:val="00481763"/>
    <w:rsid w:val="004818CE"/>
    <w:rsid w:val="00481AD9"/>
    <w:rsid w:val="00482A2B"/>
    <w:rsid w:val="00482CF5"/>
    <w:rsid w:val="00482FCA"/>
    <w:rsid w:val="00483E20"/>
    <w:rsid w:val="00483F02"/>
    <w:rsid w:val="0048485C"/>
    <w:rsid w:val="00484A5D"/>
    <w:rsid w:val="00484AEC"/>
    <w:rsid w:val="00484D47"/>
    <w:rsid w:val="00486B96"/>
    <w:rsid w:val="00486FAC"/>
    <w:rsid w:val="004916E4"/>
    <w:rsid w:val="00491ADE"/>
    <w:rsid w:val="00494F20"/>
    <w:rsid w:val="004972A6"/>
    <w:rsid w:val="004976FC"/>
    <w:rsid w:val="00497FF9"/>
    <w:rsid w:val="004A02EE"/>
    <w:rsid w:val="004A0560"/>
    <w:rsid w:val="004A0A87"/>
    <w:rsid w:val="004A1E17"/>
    <w:rsid w:val="004A2766"/>
    <w:rsid w:val="004A278D"/>
    <w:rsid w:val="004A29B7"/>
    <w:rsid w:val="004A29D9"/>
    <w:rsid w:val="004A35DE"/>
    <w:rsid w:val="004A49CE"/>
    <w:rsid w:val="004A697B"/>
    <w:rsid w:val="004A7113"/>
    <w:rsid w:val="004A76B7"/>
    <w:rsid w:val="004A7B30"/>
    <w:rsid w:val="004B088D"/>
    <w:rsid w:val="004B095E"/>
    <w:rsid w:val="004B14ED"/>
    <w:rsid w:val="004B1670"/>
    <w:rsid w:val="004B2C90"/>
    <w:rsid w:val="004B3477"/>
    <w:rsid w:val="004B4865"/>
    <w:rsid w:val="004B4B0D"/>
    <w:rsid w:val="004B5CB6"/>
    <w:rsid w:val="004B66FC"/>
    <w:rsid w:val="004B6A1D"/>
    <w:rsid w:val="004C0537"/>
    <w:rsid w:val="004C144F"/>
    <w:rsid w:val="004C1A87"/>
    <w:rsid w:val="004C1B71"/>
    <w:rsid w:val="004C2510"/>
    <w:rsid w:val="004C3F39"/>
    <w:rsid w:val="004C46D8"/>
    <w:rsid w:val="004C542A"/>
    <w:rsid w:val="004C654E"/>
    <w:rsid w:val="004C6F4E"/>
    <w:rsid w:val="004D127F"/>
    <w:rsid w:val="004D1833"/>
    <w:rsid w:val="004D22D0"/>
    <w:rsid w:val="004D361C"/>
    <w:rsid w:val="004D3DA2"/>
    <w:rsid w:val="004D424F"/>
    <w:rsid w:val="004D4D74"/>
    <w:rsid w:val="004D5600"/>
    <w:rsid w:val="004D5992"/>
    <w:rsid w:val="004D6746"/>
    <w:rsid w:val="004D6BC2"/>
    <w:rsid w:val="004D7ACB"/>
    <w:rsid w:val="004E05DE"/>
    <w:rsid w:val="004E40B6"/>
    <w:rsid w:val="004E4AF8"/>
    <w:rsid w:val="004E4EF6"/>
    <w:rsid w:val="004E5593"/>
    <w:rsid w:val="004E6360"/>
    <w:rsid w:val="004E69D9"/>
    <w:rsid w:val="004E7260"/>
    <w:rsid w:val="004F04B8"/>
    <w:rsid w:val="004F221B"/>
    <w:rsid w:val="004F3CCA"/>
    <w:rsid w:val="004F629F"/>
    <w:rsid w:val="004F737D"/>
    <w:rsid w:val="00500408"/>
    <w:rsid w:val="00502C03"/>
    <w:rsid w:val="00503997"/>
    <w:rsid w:val="00503CBF"/>
    <w:rsid w:val="00503F44"/>
    <w:rsid w:val="005055E6"/>
    <w:rsid w:val="005061AF"/>
    <w:rsid w:val="00506A9D"/>
    <w:rsid w:val="0050789C"/>
    <w:rsid w:val="00507DB1"/>
    <w:rsid w:val="005128C3"/>
    <w:rsid w:val="00512F2B"/>
    <w:rsid w:val="0051348E"/>
    <w:rsid w:val="005156B7"/>
    <w:rsid w:val="00515B9D"/>
    <w:rsid w:val="00516AE8"/>
    <w:rsid w:val="00517005"/>
    <w:rsid w:val="005178DE"/>
    <w:rsid w:val="005200E5"/>
    <w:rsid w:val="00520DC1"/>
    <w:rsid w:val="00521452"/>
    <w:rsid w:val="0052145C"/>
    <w:rsid w:val="00521791"/>
    <w:rsid w:val="00522662"/>
    <w:rsid w:val="00522874"/>
    <w:rsid w:val="00522CFC"/>
    <w:rsid w:val="00524D8C"/>
    <w:rsid w:val="00525237"/>
    <w:rsid w:val="00530DB8"/>
    <w:rsid w:val="00531790"/>
    <w:rsid w:val="005347D0"/>
    <w:rsid w:val="00535803"/>
    <w:rsid w:val="005360C6"/>
    <w:rsid w:val="005368A3"/>
    <w:rsid w:val="0054341A"/>
    <w:rsid w:val="0054443F"/>
    <w:rsid w:val="005446D5"/>
    <w:rsid w:val="005448A4"/>
    <w:rsid w:val="005452A6"/>
    <w:rsid w:val="0054612F"/>
    <w:rsid w:val="005463DA"/>
    <w:rsid w:val="00547C6B"/>
    <w:rsid w:val="005507B0"/>
    <w:rsid w:val="00551716"/>
    <w:rsid w:val="0055270C"/>
    <w:rsid w:val="00553FD6"/>
    <w:rsid w:val="00555A02"/>
    <w:rsid w:val="00556903"/>
    <w:rsid w:val="005569CB"/>
    <w:rsid w:val="00556C0C"/>
    <w:rsid w:val="00557813"/>
    <w:rsid w:val="005613EF"/>
    <w:rsid w:val="0056165A"/>
    <w:rsid w:val="00561AD7"/>
    <w:rsid w:val="00566719"/>
    <w:rsid w:val="00570BB5"/>
    <w:rsid w:val="00570E2E"/>
    <w:rsid w:val="00570F59"/>
    <w:rsid w:val="005723BC"/>
    <w:rsid w:val="005727CF"/>
    <w:rsid w:val="00573251"/>
    <w:rsid w:val="005737E1"/>
    <w:rsid w:val="0057403E"/>
    <w:rsid w:val="005744A1"/>
    <w:rsid w:val="00574548"/>
    <w:rsid w:val="00577D9F"/>
    <w:rsid w:val="0058059B"/>
    <w:rsid w:val="005806D0"/>
    <w:rsid w:val="00580C46"/>
    <w:rsid w:val="005815DD"/>
    <w:rsid w:val="00582A2F"/>
    <w:rsid w:val="00583285"/>
    <w:rsid w:val="00583C29"/>
    <w:rsid w:val="005848E3"/>
    <w:rsid w:val="00584987"/>
    <w:rsid w:val="0058554F"/>
    <w:rsid w:val="0058664C"/>
    <w:rsid w:val="00587560"/>
    <w:rsid w:val="005877DD"/>
    <w:rsid w:val="00590917"/>
    <w:rsid w:val="005910A6"/>
    <w:rsid w:val="0059205A"/>
    <w:rsid w:val="005927AA"/>
    <w:rsid w:val="005949FD"/>
    <w:rsid w:val="00595E2C"/>
    <w:rsid w:val="00596F4B"/>
    <w:rsid w:val="005A06F0"/>
    <w:rsid w:val="005A0E43"/>
    <w:rsid w:val="005A2792"/>
    <w:rsid w:val="005A36F4"/>
    <w:rsid w:val="005A3D0B"/>
    <w:rsid w:val="005A4412"/>
    <w:rsid w:val="005A5B3D"/>
    <w:rsid w:val="005A7C80"/>
    <w:rsid w:val="005B013E"/>
    <w:rsid w:val="005B065E"/>
    <w:rsid w:val="005B090D"/>
    <w:rsid w:val="005B14F9"/>
    <w:rsid w:val="005B196E"/>
    <w:rsid w:val="005B25B3"/>
    <w:rsid w:val="005B2E23"/>
    <w:rsid w:val="005B339F"/>
    <w:rsid w:val="005B3D4C"/>
    <w:rsid w:val="005B3EEA"/>
    <w:rsid w:val="005B40D4"/>
    <w:rsid w:val="005B423A"/>
    <w:rsid w:val="005B657E"/>
    <w:rsid w:val="005B7028"/>
    <w:rsid w:val="005B79C2"/>
    <w:rsid w:val="005B79D2"/>
    <w:rsid w:val="005C00F1"/>
    <w:rsid w:val="005C03C9"/>
    <w:rsid w:val="005C1D79"/>
    <w:rsid w:val="005C1F7B"/>
    <w:rsid w:val="005C2EC8"/>
    <w:rsid w:val="005C333F"/>
    <w:rsid w:val="005C415C"/>
    <w:rsid w:val="005C4889"/>
    <w:rsid w:val="005C79D2"/>
    <w:rsid w:val="005D10D2"/>
    <w:rsid w:val="005D14C8"/>
    <w:rsid w:val="005D174E"/>
    <w:rsid w:val="005D379C"/>
    <w:rsid w:val="005D559D"/>
    <w:rsid w:val="005D62B5"/>
    <w:rsid w:val="005D66BF"/>
    <w:rsid w:val="005E122C"/>
    <w:rsid w:val="005E1505"/>
    <w:rsid w:val="005E17E0"/>
    <w:rsid w:val="005E22B5"/>
    <w:rsid w:val="005E32F8"/>
    <w:rsid w:val="005E3854"/>
    <w:rsid w:val="005E3F82"/>
    <w:rsid w:val="005E461E"/>
    <w:rsid w:val="005E48C6"/>
    <w:rsid w:val="005E7F7A"/>
    <w:rsid w:val="005F4281"/>
    <w:rsid w:val="005F66DC"/>
    <w:rsid w:val="005F77AF"/>
    <w:rsid w:val="005F7B45"/>
    <w:rsid w:val="005F7ED2"/>
    <w:rsid w:val="006023B0"/>
    <w:rsid w:val="006023DC"/>
    <w:rsid w:val="00602CF1"/>
    <w:rsid w:val="0060371A"/>
    <w:rsid w:val="00603BD7"/>
    <w:rsid w:val="00603DA4"/>
    <w:rsid w:val="00605554"/>
    <w:rsid w:val="0060669F"/>
    <w:rsid w:val="0061068E"/>
    <w:rsid w:val="00612738"/>
    <w:rsid w:val="0061600D"/>
    <w:rsid w:val="00616AC0"/>
    <w:rsid w:val="00616B00"/>
    <w:rsid w:val="00617714"/>
    <w:rsid w:val="00617894"/>
    <w:rsid w:val="006179CE"/>
    <w:rsid w:val="00622824"/>
    <w:rsid w:val="00622A2D"/>
    <w:rsid w:val="006237C7"/>
    <w:rsid w:val="00623EF7"/>
    <w:rsid w:val="00624BA4"/>
    <w:rsid w:val="00624C48"/>
    <w:rsid w:val="00624F8B"/>
    <w:rsid w:val="00625CDC"/>
    <w:rsid w:val="00626C45"/>
    <w:rsid w:val="006276FA"/>
    <w:rsid w:val="00630FCB"/>
    <w:rsid w:val="00631338"/>
    <w:rsid w:val="00631450"/>
    <w:rsid w:val="00632293"/>
    <w:rsid w:val="00632592"/>
    <w:rsid w:val="00632C70"/>
    <w:rsid w:val="00632C9D"/>
    <w:rsid w:val="00633A6F"/>
    <w:rsid w:val="00633ED1"/>
    <w:rsid w:val="00634B55"/>
    <w:rsid w:val="00634E4E"/>
    <w:rsid w:val="00635571"/>
    <w:rsid w:val="006364E2"/>
    <w:rsid w:val="00636BAB"/>
    <w:rsid w:val="00637120"/>
    <w:rsid w:val="00637E97"/>
    <w:rsid w:val="00640CFF"/>
    <w:rsid w:val="006419F3"/>
    <w:rsid w:val="00642243"/>
    <w:rsid w:val="0064309D"/>
    <w:rsid w:val="00643674"/>
    <w:rsid w:val="00645996"/>
    <w:rsid w:val="0064772E"/>
    <w:rsid w:val="00647C48"/>
    <w:rsid w:val="006513E7"/>
    <w:rsid w:val="006514BC"/>
    <w:rsid w:val="006526C2"/>
    <w:rsid w:val="00652E7A"/>
    <w:rsid w:val="00653657"/>
    <w:rsid w:val="006537FE"/>
    <w:rsid w:val="0065423D"/>
    <w:rsid w:val="00654310"/>
    <w:rsid w:val="00655A7E"/>
    <w:rsid w:val="00657110"/>
    <w:rsid w:val="00657201"/>
    <w:rsid w:val="006600C8"/>
    <w:rsid w:val="006620A6"/>
    <w:rsid w:val="006631C4"/>
    <w:rsid w:val="0066321D"/>
    <w:rsid w:val="00663CE7"/>
    <w:rsid w:val="00663DCC"/>
    <w:rsid w:val="006673FD"/>
    <w:rsid w:val="00667EE6"/>
    <w:rsid w:val="00670389"/>
    <w:rsid w:val="00671391"/>
    <w:rsid w:val="00671600"/>
    <w:rsid w:val="006717C0"/>
    <w:rsid w:val="006724F7"/>
    <w:rsid w:val="00673000"/>
    <w:rsid w:val="00674524"/>
    <w:rsid w:val="00674A5F"/>
    <w:rsid w:val="006751BF"/>
    <w:rsid w:val="00675AA3"/>
    <w:rsid w:val="006764C5"/>
    <w:rsid w:val="00676C38"/>
    <w:rsid w:val="006778A7"/>
    <w:rsid w:val="00677DA4"/>
    <w:rsid w:val="006813ED"/>
    <w:rsid w:val="00681DD8"/>
    <w:rsid w:val="00681F79"/>
    <w:rsid w:val="006827DE"/>
    <w:rsid w:val="00683593"/>
    <w:rsid w:val="00684A29"/>
    <w:rsid w:val="006859CD"/>
    <w:rsid w:val="00686162"/>
    <w:rsid w:val="006863D3"/>
    <w:rsid w:val="00686DB6"/>
    <w:rsid w:val="006909A3"/>
    <w:rsid w:val="00691539"/>
    <w:rsid w:val="00691948"/>
    <w:rsid w:val="0069293E"/>
    <w:rsid w:val="00693D96"/>
    <w:rsid w:val="006950CF"/>
    <w:rsid w:val="0069702D"/>
    <w:rsid w:val="00697440"/>
    <w:rsid w:val="00697F27"/>
    <w:rsid w:val="006A0132"/>
    <w:rsid w:val="006A1758"/>
    <w:rsid w:val="006A1AED"/>
    <w:rsid w:val="006A2416"/>
    <w:rsid w:val="006A3944"/>
    <w:rsid w:val="006A4647"/>
    <w:rsid w:val="006A5B07"/>
    <w:rsid w:val="006A6E66"/>
    <w:rsid w:val="006A7822"/>
    <w:rsid w:val="006B0186"/>
    <w:rsid w:val="006B32CD"/>
    <w:rsid w:val="006B3D08"/>
    <w:rsid w:val="006B3D7D"/>
    <w:rsid w:val="006B5570"/>
    <w:rsid w:val="006B7025"/>
    <w:rsid w:val="006C2E3F"/>
    <w:rsid w:val="006C324A"/>
    <w:rsid w:val="006C3F96"/>
    <w:rsid w:val="006C4112"/>
    <w:rsid w:val="006C52EB"/>
    <w:rsid w:val="006C5E25"/>
    <w:rsid w:val="006C70B4"/>
    <w:rsid w:val="006C7765"/>
    <w:rsid w:val="006C7AE3"/>
    <w:rsid w:val="006D0EAE"/>
    <w:rsid w:val="006D32BF"/>
    <w:rsid w:val="006D4B2C"/>
    <w:rsid w:val="006E09F2"/>
    <w:rsid w:val="006E1018"/>
    <w:rsid w:val="006E1E7F"/>
    <w:rsid w:val="006E26AD"/>
    <w:rsid w:val="006E36C3"/>
    <w:rsid w:val="006E3D39"/>
    <w:rsid w:val="006E3EB9"/>
    <w:rsid w:val="006E5248"/>
    <w:rsid w:val="006E6676"/>
    <w:rsid w:val="006E7ADB"/>
    <w:rsid w:val="006F0402"/>
    <w:rsid w:val="006F0639"/>
    <w:rsid w:val="006F0E28"/>
    <w:rsid w:val="006F11FC"/>
    <w:rsid w:val="006F1EC5"/>
    <w:rsid w:val="006F3460"/>
    <w:rsid w:val="006F37EA"/>
    <w:rsid w:val="006F3BE9"/>
    <w:rsid w:val="006F535B"/>
    <w:rsid w:val="006F71F5"/>
    <w:rsid w:val="006F7532"/>
    <w:rsid w:val="006F7C87"/>
    <w:rsid w:val="007009D5"/>
    <w:rsid w:val="00701590"/>
    <w:rsid w:val="007033D9"/>
    <w:rsid w:val="00703448"/>
    <w:rsid w:val="00705009"/>
    <w:rsid w:val="00710F35"/>
    <w:rsid w:val="00710F65"/>
    <w:rsid w:val="00714367"/>
    <w:rsid w:val="00714CD1"/>
    <w:rsid w:val="00715F28"/>
    <w:rsid w:val="00716F61"/>
    <w:rsid w:val="00717A77"/>
    <w:rsid w:val="007218E4"/>
    <w:rsid w:val="00721EFA"/>
    <w:rsid w:val="00722618"/>
    <w:rsid w:val="00722CE4"/>
    <w:rsid w:val="00726E99"/>
    <w:rsid w:val="00727BCD"/>
    <w:rsid w:val="0073142A"/>
    <w:rsid w:val="00733063"/>
    <w:rsid w:val="00733ACB"/>
    <w:rsid w:val="007347D0"/>
    <w:rsid w:val="00734E1D"/>
    <w:rsid w:val="0073522B"/>
    <w:rsid w:val="00735FDC"/>
    <w:rsid w:val="0073617F"/>
    <w:rsid w:val="007365DB"/>
    <w:rsid w:val="0073662D"/>
    <w:rsid w:val="00736745"/>
    <w:rsid w:val="0073708A"/>
    <w:rsid w:val="007376EE"/>
    <w:rsid w:val="00737E28"/>
    <w:rsid w:val="00740611"/>
    <w:rsid w:val="00740CB7"/>
    <w:rsid w:val="00740D9F"/>
    <w:rsid w:val="0074127A"/>
    <w:rsid w:val="00741369"/>
    <w:rsid w:val="00742607"/>
    <w:rsid w:val="00742D9D"/>
    <w:rsid w:val="007433DE"/>
    <w:rsid w:val="00745936"/>
    <w:rsid w:val="007459DF"/>
    <w:rsid w:val="0074678D"/>
    <w:rsid w:val="007467A0"/>
    <w:rsid w:val="00746937"/>
    <w:rsid w:val="007469AE"/>
    <w:rsid w:val="00746A7C"/>
    <w:rsid w:val="0075073F"/>
    <w:rsid w:val="007509CB"/>
    <w:rsid w:val="0075143C"/>
    <w:rsid w:val="007517CF"/>
    <w:rsid w:val="00751E41"/>
    <w:rsid w:val="00752EE9"/>
    <w:rsid w:val="00753521"/>
    <w:rsid w:val="0075368F"/>
    <w:rsid w:val="0075626E"/>
    <w:rsid w:val="00757AE2"/>
    <w:rsid w:val="00757BF1"/>
    <w:rsid w:val="0076097C"/>
    <w:rsid w:val="00761BDD"/>
    <w:rsid w:val="0076240B"/>
    <w:rsid w:val="00762648"/>
    <w:rsid w:val="00763282"/>
    <w:rsid w:val="007637DD"/>
    <w:rsid w:val="00765AA2"/>
    <w:rsid w:val="00766817"/>
    <w:rsid w:val="007668FC"/>
    <w:rsid w:val="00766DBB"/>
    <w:rsid w:val="007679E0"/>
    <w:rsid w:val="0077036A"/>
    <w:rsid w:val="0077058A"/>
    <w:rsid w:val="00770D3C"/>
    <w:rsid w:val="00771344"/>
    <w:rsid w:val="00772365"/>
    <w:rsid w:val="0077236B"/>
    <w:rsid w:val="0077236E"/>
    <w:rsid w:val="00772592"/>
    <w:rsid w:val="007725BD"/>
    <w:rsid w:val="00773C60"/>
    <w:rsid w:val="00777A61"/>
    <w:rsid w:val="007801A2"/>
    <w:rsid w:val="007815E8"/>
    <w:rsid w:val="00784085"/>
    <w:rsid w:val="0078438F"/>
    <w:rsid w:val="007843D0"/>
    <w:rsid w:val="00784840"/>
    <w:rsid w:val="0078510E"/>
    <w:rsid w:val="0078579D"/>
    <w:rsid w:val="00785BDF"/>
    <w:rsid w:val="007860CC"/>
    <w:rsid w:val="0078679C"/>
    <w:rsid w:val="00786AF9"/>
    <w:rsid w:val="00786F96"/>
    <w:rsid w:val="007872F4"/>
    <w:rsid w:val="00787701"/>
    <w:rsid w:val="00787B36"/>
    <w:rsid w:val="00787EF9"/>
    <w:rsid w:val="00790520"/>
    <w:rsid w:val="00790899"/>
    <w:rsid w:val="00792C18"/>
    <w:rsid w:val="00793BC4"/>
    <w:rsid w:val="0079461B"/>
    <w:rsid w:val="00794895"/>
    <w:rsid w:val="00794EC9"/>
    <w:rsid w:val="00795B1B"/>
    <w:rsid w:val="007967CB"/>
    <w:rsid w:val="00796EA0"/>
    <w:rsid w:val="00797580"/>
    <w:rsid w:val="007975E9"/>
    <w:rsid w:val="007978D8"/>
    <w:rsid w:val="007A0514"/>
    <w:rsid w:val="007A136E"/>
    <w:rsid w:val="007A1B25"/>
    <w:rsid w:val="007A1CD5"/>
    <w:rsid w:val="007A24D6"/>
    <w:rsid w:val="007A3C86"/>
    <w:rsid w:val="007A528D"/>
    <w:rsid w:val="007A55FD"/>
    <w:rsid w:val="007A5964"/>
    <w:rsid w:val="007A68CF"/>
    <w:rsid w:val="007A6A54"/>
    <w:rsid w:val="007A70CF"/>
    <w:rsid w:val="007A7116"/>
    <w:rsid w:val="007A71F5"/>
    <w:rsid w:val="007A73F8"/>
    <w:rsid w:val="007A786A"/>
    <w:rsid w:val="007B2ED8"/>
    <w:rsid w:val="007B3294"/>
    <w:rsid w:val="007B3CEA"/>
    <w:rsid w:val="007B3DB0"/>
    <w:rsid w:val="007B420C"/>
    <w:rsid w:val="007B48EF"/>
    <w:rsid w:val="007B574B"/>
    <w:rsid w:val="007B5B7A"/>
    <w:rsid w:val="007B5DDE"/>
    <w:rsid w:val="007B6AF1"/>
    <w:rsid w:val="007B7381"/>
    <w:rsid w:val="007B7399"/>
    <w:rsid w:val="007C02C2"/>
    <w:rsid w:val="007C26D5"/>
    <w:rsid w:val="007C282C"/>
    <w:rsid w:val="007C4139"/>
    <w:rsid w:val="007C4719"/>
    <w:rsid w:val="007C5A8D"/>
    <w:rsid w:val="007C66F7"/>
    <w:rsid w:val="007C7B42"/>
    <w:rsid w:val="007C7CA5"/>
    <w:rsid w:val="007C7DCF"/>
    <w:rsid w:val="007C7F4D"/>
    <w:rsid w:val="007D1105"/>
    <w:rsid w:val="007D1366"/>
    <w:rsid w:val="007D21FB"/>
    <w:rsid w:val="007D2259"/>
    <w:rsid w:val="007D2481"/>
    <w:rsid w:val="007D3F83"/>
    <w:rsid w:val="007D49DF"/>
    <w:rsid w:val="007D5FF4"/>
    <w:rsid w:val="007E058A"/>
    <w:rsid w:val="007E0AD0"/>
    <w:rsid w:val="007E15F1"/>
    <w:rsid w:val="007E2213"/>
    <w:rsid w:val="007E37C4"/>
    <w:rsid w:val="007E6968"/>
    <w:rsid w:val="007E6EC4"/>
    <w:rsid w:val="007F07DD"/>
    <w:rsid w:val="007F08AF"/>
    <w:rsid w:val="007F1313"/>
    <w:rsid w:val="007F14E3"/>
    <w:rsid w:val="007F3A2D"/>
    <w:rsid w:val="007F3D72"/>
    <w:rsid w:val="007F40C5"/>
    <w:rsid w:val="007F42EF"/>
    <w:rsid w:val="007F44DA"/>
    <w:rsid w:val="007F5428"/>
    <w:rsid w:val="007F65BB"/>
    <w:rsid w:val="007F6F4F"/>
    <w:rsid w:val="008013F6"/>
    <w:rsid w:val="00801449"/>
    <w:rsid w:val="00801794"/>
    <w:rsid w:val="00801E7C"/>
    <w:rsid w:val="00801E80"/>
    <w:rsid w:val="00802482"/>
    <w:rsid w:val="00803297"/>
    <w:rsid w:val="00803431"/>
    <w:rsid w:val="00804076"/>
    <w:rsid w:val="00804F7F"/>
    <w:rsid w:val="0080508A"/>
    <w:rsid w:val="00807BD5"/>
    <w:rsid w:val="00810B38"/>
    <w:rsid w:val="00810DFA"/>
    <w:rsid w:val="00811A81"/>
    <w:rsid w:val="00815A88"/>
    <w:rsid w:val="00816E56"/>
    <w:rsid w:val="008176A0"/>
    <w:rsid w:val="00817CB7"/>
    <w:rsid w:val="008200D3"/>
    <w:rsid w:val="008210DC"/>
    <w:rsid w:val="00821722"/>
    <w:rsid w:val="00821CE0"/>
    <w:rsid w:val="008235C5"/>
    <w:rsid w:val="00824AB9"/>
    <w:rsid w:val="008261A6"/>
    <w:rsid w:val="00826A4A"/>
    <w:rsid w:val="00826BD6"/>
    <w:rsid w:val="008305A0"/>
    <w:rsid w:val="0083111B"/>
    <w:rsid w:val="00832582"/>
    <w:rsid w:val="0083435F"/>
    <w:rsid w:val="00835180"/>
    <w:rsid w:val="008351FD"/>
    <w:rsid w:val="00836A3C"/>
    <w:rsid w:val="008379EF"/>
    <w:rsid w:val="0084095C"/>
    <w:rsid w:val="00841429"/>
    <w:rsid w:val="00843096"/>
    <w:rsid w:val="00843A49"/>
    <w:rsid w:val="00843C5C"/>
    <w:rsid w:val="00843CA8"/>
    <w:rsid w:val="00843D3C"/>
    <w:rsid w:val="0084472F"/>
    <w:rsid w:val="00845476"/>
    <w:rsid w:val="00845A60"/>
    <w:rsid w:val="00846DE9"/>
    <w:rsid w:val="00847080"/>
    <w:rsid w:val="00847FD9"/>
    <w:rsid w:val="008508A8"/>
    <w:rsid w:val="00851BF7"/>
    <w:rsid w:val="00852381"/>
    <w:rsid w:val="0085275C"/>
    <w:rsid w:val="0085381C"/>
    <w:rsid w:val="00854B7F"/>
    <w:rsid w:val="00854DD4"/>
    <w:rsid w:val="008559B8"/>
    <w:rsid w:val="008561A8"/>
    <w:rsid w:val="00856528"/>
    <w:rsid w:val="00856C14"/>
    <w:rsid w:val="008574C4"/>
    <w:rsid w:val="00857789"/>
    <w:rsid w:val="00857F66"/>
    <w:rsid w:val="00860FDF"/>
    <w:rsid w:val="0086108B"/>
    <w:rsid w:val="00863A2C"/>
    <w:rsid w:val="00863C33"/>
    <w:rsid w:val="008647C9"/>
    <w:rsid w:val="00864896"/>
    <w:rsid w:val="00865A29"/>
    <w:rsid w:val="00865EE5"/>
    <w:rsid w:val="0086671A"/>
    <w:rsid w:val="00866BDD"/>
    <w:rsid w:val="0086767B"/>
    <w:rsid w:val="0087089A"/>
    <w:rsid w:val="00870DD6"/>
    <w:rsid w:val="00870FE3"/>
    <w:rsid w:val="008734CA"/>
    <w:rsid w:val="00874C0B"/>
    <w:rsid w:val="008751EF"/>
    <w:rsid w:val="008770DE"/>
    <w:rsid w:val="0087730C"/>
    <w:rsid w:val="00880203"/>
    <w:rsid w:val="008803D7"/>
    <w:rsid w:val="00881C2E"/>
    <w:rsid w:val="00881D89"/>
    <w:rsid w:val="0088205A"/>
    <w:rsid w:val="00882DEF"/>
    <w:rsid w:val="00882FD0"/>
    <w:rsid w:val="0088445B"/>
    <w:rsid w:val="00884DDC"/>
    <w:rsid w:val="00886551"/>
    <w:rsid w:val="00886B07"/>
    <w:rsid w:val="00886C73"/>
    <w:rsid w:val="008900AF"/>
    <w:rsid w:val="008907CB"/>
    <w:rsid w:val="00891534"/>
    <w:rsid w:val="00891BB4"/>
    <w:rsid w:val="00893006"/>
    <w:rsid w:val="00893365"/>
    <w:rsid w:val="0089379E"/>
    <w:rsid w:val="00893996"/>
    <w:rsid w:val="0089491B"/>
    <w:rsid w:val="00894A0E"/>
    <w:rsid w:val="00894C06"/>
    <w:rsid w:val="00895325"/>
    <w:rsid w:val="008956F3"/>
    <w:rsid w:val="008959DA"/>
    <w:rsid w:val="00895E24"/>
    <w:rsid w:val="008966AF"/>
    <w:rsid w:val="0089696E"/>
    <w:rsid w:val="00896E97"/>
    <w:rsid w:val="00897338"/>
    <w:rsid w:val="008A1196"/>
    <w:rsid w:val="008A14B2"/>
    <w:rsid w:val="008A3579"/>
    <w:rsid w:val="008A3821"/>
    <w:rsid w:val="008A3CDB"/>
    <w:rsid w:val="008A524C"/>
    <w:rsid w:val="008A57BE"/>
    <w:rsid w:val="008A6966"/>
    <w:rsid w:val="008B0314"/>
    <w:rsid w:val="008B03E2"/>
    <w:rsid w:val="008B062C"/>
    <w:rsid w:val="008B20BE"/>
    <w:rsid w:val="008B44C5"/>
    <w:rsid w:val="008B512D"/>
    <w:rsid w:val="008B6224"/>
    <w:rsid w:val="008B68CD"/>
    <w:rsid w:val="008B6A22"/>
    <w:rsid w:val="008C1BCE"/>
    <w:rsid w:val="008C2C2F"/>
    <w:rsid w:val="008C2C91"/>
    <w:rsid w:val="008C3BA7"/>
    <w:rsid w:val="008C53C1"/>
    <w:rsid w:val="008C5D40"/>
    <w:rsid w:val="008C6420"/>
    <w:rsid w:val="008C6A38"/>
    <w:rsid w:val="008D012F"/>
    <w:rsid w:val="008D04B1"/>
    <w:rsid w:val="008D0A19"/>
    <w:rsid w:val="008D1123"/>
    <w:rsid w:val="008D15BC"/>
    <w:rsid w:val="008D1AC5"/>
    <w:rsid w:val="008D2872"/>
    <w:rsid w:val="008D469B"/>
    <w:rsid w:val="008D5B90"/>
    <w:rsid w:val="008D6643"/>
    <w:rsid w:val="008D749C"/>
    <w:rsid w:val="008E03E1"/>
    <w:rsid w:val="008E1371"/>
    <w:rsid w:val="008E310C"/>
    <w:rsid w:val="008E3438"/>
    <w:rsid w:val="008E494F"/>
    <w:rsid w:val="008E4BE1"/>
    <w:rsid w:val="008E5556"/>
    <w:rsid w:val="008E555D"/>
    <w:rsid w:val="008E5791"/>
    <w:rsid w:val="008E5D77"/>
    <w:rsid w:val="008E67B7"/>
    <w:rsid w:val="008E6ADB"/>
    <w:rsid w:val="008E7085"/>
    <w:rsid w:val="008F174D"/>
    <w:rsid w:val="008F3260"/>
    <w:rsid w:val="008F3E94"/>
    <w:rsid w:val="008F4081"/>
    <w:rsid w:val="008F4696"/>
    <w:rsid w:val="008F6054"/>
    <w:rsid w:val="008F72FC"/>
    <w:rsid w:val="008F7935"/>
    <w:rsid w:val="00901479"/>
    <w:rsid w:val="00901CED"/>
    <w:rsid w:val="009034EE"/>
    <w:rsid w:val="00903B94"/>
    <w:rsid w:val="00903EFA"/>
    <w:rsid w:val="00905069"/>
    <w:rsid w:val="00905A8B"/>
    <w:rsid w:val="009062C1"/>
    <w:rsid w:val="00906DBC"/>
    <w:rsid w:val="0090726C"/>
    <w:rsid w:val="00907754"/>
    <w:rsid w:val="00910150"/>
    <w:rsid w:val="00910CBC"/>
    <w:rsid w:val="0091148F"/>
    <w:rsid w:val="00911FFF"/>
    <w:rsid w:val="0091268C"/>
    <w:rsid w:val="0091287D"/>
    <w:rsid w:val="00913235"/>
    <w:rsid w:val="00914DAD"/>
    <w:rsid w:val="00915A2E"/>
    <w:rsid w:val="009172D2"/>
    <w:rsid w:val="00917888"/>
    <w:rsid w:val="009205C1"/>
    <w:rsid w:val="00922EEE"/>
    <w:rsid w:val="00922FBF"/>
    <w:rsid w:val="00923BE5"/>
    <w:rsid w:val="00926656"/>
    <w:rsid w:val="009270D6"/>
    <w:rsid w:val="00927F40"/>
    <w:rsid w:val="00931B0F"/>
    <w:rsid w:val="00931C73"/>
    <w:rsid w:val="00933233"/>
    <w:rsid w:val="009336E1"/>
    <w:rsid w:val="00933767"/>
    <w:rsid w:val="00934EFA"/>
    <w:rsid w:val="00935D19"/>
    <w:rsid w:val="009363D9"/>
    <w:rsid w:val="00936783"/>
    <w:rsid w:val="0093776F"/>
    <w:rsid w:val="009400BF"/>
    <w:rsid w:val="0094403E"/>
    <w:rsid w:val="00944E04"/>
    <w:rsid w:val="0094547C"/>
    <w:rsid w:val="00945A31"/>
    <w:rsid w:val="00945BA1"/>
    <w:rsid w:val="00945C25"/>
    <w:rsid w:val="0094608D"/>
    <w:rsid w:val="0094657B"/>
    <w:rsid w:val="00950A9D"/>
    <w:rsid w:val="00951649"/>
    <w:rsid w:val="00952328"/>
    <w:rsid w:val="009545BB"/>
    <w:rsid w:val="00954F0A"/>
    <w:rsid w:val="00955702"/>
    <w:rsid w:val="00956AC8"/>
    <w:rsid w:val="009575AF"/>
    <w:rsid w:val="009575B9"/>
    <w:rsid w:val="00960048"/>
    <w:rsid w:val="00960872"/>
    <w:rsid w:val="009608D6"/>
    <w:rsid w:val="00960BE3"/>
    <w:rsid w:val="00961138"/>
    <w:rsid w:val="009611CB"/>
    <w:rsid w:val="00966310"/>
    <w:rsid w:val="00966F64"/>
    <w:rsid w:val="00967754"/>
    <w:rsid w:val="00970190"/>
    <w:rsid w:val="009703D7"/>
    <w:rsid w:val="00970FB0"/>
    <w:rsid w:val="00973372"/>
    <w:rsid w:val="00974984"/>
    <w:rsid w:val="00975D6F"/>
    <w:rsid w:val="009770AF"/>
    <w:rsid w:val="0098076E"/>
    <w:rsid w:val="009808BA"/>
    <w:rsid w:val="00981D57"/>
    <w:rsid w:val="00984804"/>
    <w:rsid w:val="009849F9"/>
    <w:rsid w:val="0098527B"/>
    <w:rsid w:val="00986654"/>
    <w:rsid w:val="009900F5"/>
    <w:rsid w:val="0099472D"/>
    <w:rsid w:val="00995395"/>
    <w:rsid w:val="00996B84"/>
    <w:rsid w:val="00996BE8"/>
    <w:rsid w:val="009A0F49"/>
    <w:rsid w:val="009A326F"/>
    <w:rsid w:val="009A3BAA"/>
    <w:rsid w:val="009A4B58"/>
    <w:rsid w:val="009A5BC1"/>
    <w:rsid w:val="009A5E0A"/>
    <w:rsid w:val="009A7E46"/>
    <w:rsid w:val="009A7F71"/>
    <w:rsid w:val="009B04A2"/>
    <w:rsid w:val="009B0E3F"/>
    <w:rsid w:val="009B1D04"/>
    <w:rsid w:val="009B20E4"/>
    <w:rsid w:val="009B285A"/>
    <w:rsid w:val="009B3681"/>
    <w:rsid w:val="009B4232"/>
    <w:rsid w:val="009B4FE6"/>
    <w:rsid w:val="009B53E7"/>
    <w:rsid w:val="009B59AF"/>
    <w:rsid w:val="009B5B70"/>
    <w:rsid w:val="009B620F"/>
    <w:rsid w:val="009B6A34"/>
    <w:rsid w:val="009B6A65"/>
    <w:rsid w:val="009C1CC0"/>
    <w:rsid w:val="009C2B0E"/>
    <w:rsid w:val="009C5E97"/>
    <w:rsid w:val="009C61E9"/>
    <w:rsid w:val="009C7622"/>
    <w:rsid w:val="009C76D4"/>
    <w:rsid w:val="009C7DB5"/>
    <w:rsid w:val="009C7E0E"/>
    <w:rsid w:val="009D1064"/>
    <w:rsid w:val="009D107C"/>
    <w:rsid w:val="009D1734"/>
    <w:rsid w:val="009D242E"/>
    <w:rsid w:val="009D25DA"/>
    <w:rsid w:val="009D2C44"/>
    <w:rsid w:val="009D3042"/>
    <w:rsid w:val="009D3693"/>
    <w:rsid w:val="009D3A1B"/>
    <w:rsid w:val="009D430F"/>
    <w:rsid w:val="009D481A"/>
    <w:rsid w:val="009D4A8E"/>
    <w:rsid w:val="009D5254"/>
    <w:rsid w:val="009D5978"/>
    <w:rsid w:val="009D6832"/>
    <w:rsid w:val="009D71C9"/>
    <w:rsid w:val="009E0D11"/>
    <w:rsid w:val="009E1728"/>
    <w:rsid w:val="009E1E66"/>
    <w:rsid w:val="009E2631"/>
    <w:rsid w:val="009E2735"/>
    <w:rsid w:val="009E2D3F"/>
    <w:rsid w:val="009E3EB5"/>
    <w:rsid w:val="009E4580"/>
    <w:rsid w:val="009E670D"/>
    <w:rsid w:val="009F0AD0"/>
    <w:rsid w:val="009F1315"/>
    <w:rsid w:val="009F16E9"/>
    <w:rsid w:val="009F1F10"/>
    <w:rsid w:val="009F2BEB"/>
    <w:rsid w:val="009F44E3"/>
    <w:rsid w:val="009F5019"/>
    <w:rsid w:val="009F5FE1"/>
    <w:rsid w:val="009F6905"/>
    <w:rsid w:val="009F6B61"/>
    <w:rsid w:val="009F6C4D"/>
    <w:rsid w:val="00A01077"/>
    <w:rsid w:val="00A02246"/>
    <w:rsid w:val="00A05D89"/>
    <w:rsid w:val="00A061A8"/>
    <w:rsid w:val="00A06C0D"/>
    <w:rsid w:val="00A06FEE"/>
    <w:rsid w:val="00A10B01"/>
    <w:rsid w:val="00A10EA3"/>
    <w:rsid w:val="00A11B45"/>
    <w:rsid w:val="00A134CF"/>
    <w:rsid w:val="00A14250"/>
    <w:rsid w:val="00A14540"/>
    <w:rsid w:val="00A146FA"/>
    <w:rsid w:val="00A14ACC"/>
    <w:rsid w:val="00A15F83"/>
    <w:rsid w:val="00A164F9"/>
    <w:rsid w:val="00A16BCF"/>
    <w:rsid w:val="00A1755A"/>
    <w:rsid w:val="00A20332"/>
    <w:rsid w:val="00A21765"/>
    <w:rsid w:val="00A21DCA"/>
    <w:rsid w:val="00A24E32"/>
    <w:rsid w:val="00A253F2"/>
    <w:rsid w:val="00A25908"/>
    <w:rsid w:val="00A25E79"/>
    <w:rsid w:val="00A27BDC"/>
    <w:rsid w:val="00A30BA4"/>
    <w:rsid w:val="00A34453"/>
    <w:rsid w:val="00A34612"/>
    <w:rsid w:val="00A36408"/>
    <w:rsid w:val="00A3678E"/>
    <w:rsid w:val="00A3697E"/>
    <w:rsid w:val="00A36E18"/>
    <w:rsid w:val="00A37999"/>
    <w:rsid w:val="00A37A7E"/>
    <w:rsid w:val="00A37AC5"/>
    <w:rsid w:val="00A40D9B"/>
    <w:rsid w:val="00A41979"/>
    <w:rsid w:val="00A42321"/>
    <w:rsid w:val="00A42E57"/>
    <w:rsid w:val="00A43084"/>
    <w:rsid w:val="00A437F4"/>
    <w:rsid w:val="00A43A23"/>
    <w:rsid w:val="00A450E4"/>
    <w:rsid w:val="00A46054"/>
    <w:rsid w:val="00A464A5"/>
    <w:rsid w:val="00A46B42"/>
    <w:rsid w:val="00A50B56"/>
    <w:rsid w:val="00A526F1"/>
    <w:rsid w:val="00A54705"/>
    <w:rsid w:val="00A54EFF"/>
    <w:rsid w:val="00A55D66"/>
    <w:rsid w:val="00A56259"/>
    <w:rsid w:val="00A564BC"/>
    <w:rsid w:val="00A578BD"/>
    <w:rsid w:val="00A602CA"/>
    <w:rsid w:val="00A61A1D"/>
    <w:rsid w:val="00A61C35"/>
    <w:rsid w:val="00A62B6B"/>
    <w:rsid w:val="00A62B90"/>
    <w:rsid w:val="00A63325"/>
    <w:rsid w:val="00A63485"/>
    <w:rsid w:val="00A63D40"/>
    <w:rsid w:val="00A652F8"/>
    <w:rsid w:val="00A65DA1"/>
    <w:rsid w:val="00A66858"/>
    <w:rsid w:val="00A70AA2"/>
    <w:rsid w:val="00A70B88"/>
    <w:rsid w:val="00A71148"/>
    <w:rsid w:val="00A71BF6"/>
    <w:rsid w:val="00A7557B"/>
    <w:rsid w:val="00A75771"/>
    <w:rsid w:val="00A75A5B"/>
    <w:rsid w:val="00A773FD"/>
    <w:rsid w:val="00A776D7"/>
    <w:rsid w:val="00A77FBB"/>
    <w:rsid w:val="00A80639"/>
    <w:rsid w:val="00A81775"/>
    <w:rsid w:val="00A819D9"/>
    <w:rsid w:val="00A822DE"/>
    <w:rsid w:val="00A8279A"/>
    <w:rsid w:val="00A828BD"/>
    <w:rsid w:val="00A84FCC"/>
    <w:rsid w:val="00A852E6"/>
    <w:rsid w:val="00A85403"/>
    <w:rsid w:val="00A87F59"/>
    <w:rsid w:val="00A910EB"/>
    <w:rsid w:val="00A91BC9"/>
    <w:rsid w:val="00A92106"/>
    <w:rsid w:val="00A93ACE"/>
    <w:rsid w:val="00A93E38"/>
    <w:rsid w:val="00A94663"/>
    <w:rsid w:val="00A94F22"/>
    <w:rsid w:val="00A94F65"/>
    <w:rsid w:val="00A9612B"/>
    <w:rsid w:val="00A97F84"/>
    <w:rsid w:val="00AA1722"/>
    <w:rsid w:val="00AA3787"/>
    <w:rsid w:val="00AA417B"/>
    <w:rsid w:val="00AA65CA"/>
    <w:rsid w:val="00AA6AC1"/>
    <w:rsid w:val="00AB08E3"/>
    <w:rsid w:val="00AB2399"/>
    <w:rsid w:val="00AB2B7A"/>
    <w:rsid w:val="00AB4DDE"/>
    <w:rsid w:val="00AB529E"/>
    <w:rsid w:val="00AB58D9"/>
    <w:rsid w:val="00AB5F00"/>
    <w:rsid w:val="00AB664E"/>
    <w:rsid w:val="00AB6BF7"/>
    <w:rsid w:val="00AB71F4"/>
    <w:rsid w:val="00AB7367"/>
    <w:rsid w:val="00AB79D7"/>
    <w:rsid w:val="00AC1A41"/>
    <w:rsid w:val="00AC2F05"/>
    <w:rsid w:val="00AC3090"/>
    <w:rsid w:val="00AC3830"/>
    <w:rsid w:val="00AC52BB"/>
    <w:rsid w:val="00AC5828"/>
    <w:rsid w:val="00AC5AA7"/>
    <w:rsid w:val="00AC6C33"/>
    <w:rsid w:val="00AC6F0C"/>
    <w:rsid w:val="00AC78EB"/>
    <w:rsid w:val="00AC7D09"/>
    <w:rsid w:val="00AD1D69"/>
    <w:rsid w:val="00AD2CD4"/>
    <w:rsid w:val="00AD3A0A"/>
    <w:rsid w:val="00AD4018"/>
    <w:rsid w:val="00AD6143"/>
    <w:rsid w:val="00AD66C0"/>
    <w:rsid w:val="00AD791E"/>
    <w:rsid w:val="00AE0503"/>
    <w:rsid w:val="00AE1085"/>
    <w:rsid w:val="00AE1D68"/>
    <w:rsid w:val="00AE2485"/>
    <w:rsid w:val="00AE48EA"/>
    <w:rsid w:val="00AE6229"/>
    <w:rsid w:val="00AE777A"/>
    <w:rsid w:val="00AE7AA2"/>
    <w:rsid w:val="00AF0344"/>
    <w:rsid w:val="00AF045D"/>
    <w:rsid w:val="00AF1AEB"/>
    <w:rsid w:val="00AF2833"/>
    <w:rsid w:val="00AF288B"/>
    <w:rsid w:val="00AF2E59"/>
    <w:rsid w:val="00AF40EE"/>
    <w:rsid w:val="00AF4234"/>
    <w:rsid w:val="00AF4964"/>
    <w:rsid w:val="00AF538F"/>
    <w:rsid w:val="00AF5B7A"/>
    <w:rsid w:val="00AF62CF"/>
    <w:rsid w:val="00AF6996"/>
    <w:rsid w:val="00AF78CF"/>
    <w:rsid w:val="00AF7ABA"/>
    <w:rsid w:val="00B00774"/>
    <w:rsid w:val="00B010AD"/>
    <w:rsid w:val="00B010F1"/>
    <w:rsid w:val="00B016F9"/>
    <w:rsid w:val="00B01ADB"/>
    <w:rsid w:val="00B01C66"/>
    <w:rsid w:val="00B0254E"/>
    <w:rsid w:val="00B037DB"/>
    <w:rsid w:val="00B03C2E"/>
    <w:rsid w:val="00B051CE"/>
    <w:rsid w:val="00B05220"/>
    <w:rsid w:val="00B0562A"/>
    <w:rsid w:val="00B06B67"/>
    <w:rsid w:val="00B06CDD"/>
    <w:rsid w:val="00B104C6"/>
    <w:rsid w:val="00B10770"/>
    <w:rsid w:val="00B109C2"/>
    <w:rsid w:val="00B10A04"/>
    <w:rsid w:val="00B115DD"/>
    <w:rsid w:val="00B120DB"/>
    <w:rsid w:val="00B126BC"/>
    <w:rsid w:val="00B12A71"/>
    <w:rsid w:val="00B12B4C"/>
    <w:rsid w:val="00B13EA7"/>
    <w:rsid w:val="00B14A1F"/>
    <w:rsid w:val="00B14B32"/>
    <w:rsid w:val="00B15063"/>
    <w:rsid w:val="00B16890"/>
    <w:rsid w:val="00B16CF9"/>
    <w:rsid w:val="00B16D68"/>
    <w:rsid w:val="00B17593"/>
    <w:rsid w:val="00B175F8"/>
    <w:rsid w:val="00B20BA9"/>
    <w:rsid w:val="00B20EA6"/>
    <w:rsid w:val="00B21773"/>
    <w:rsid w:val="00B225C0"/>
    <w:rsid w:val="00B23081"/>
    <w:rsid w:val="00B23F30"/>
    <w:rsid w:val="00B24F3B"/>
    <w:rsid w:val="00B2632D"/>
    <w:rsid w:val="00B2700A"/>
    <w:rsid w:val="00B3027A"/>
    <w:rsid w:val="00B30971"/>
    <w:rsid w:val="00B3139E"/>
    <w:rsid w:val="00B31FA6"/>
    <w:rsid w:val="00B32967"/>
    <w:rsid w:val="00B32B30"/>
    <w:rsid w:val="00B32D61"/>
    <w:rsid w:val="00B33642"/>
    <w:rsid w:val="00B33B31"/>
    <w:rsid w:val="00B3486B"/>
    <w:rsid w:val="00B3566D"/>
    <w:rsid w:val="00B37BB2"/>
    <w:rsid w:val="00B37C49"/>
    <w:rsid w:val="00B37CF2"/>
    <w:rsid w:val="00B41CE7"/>
    <w:rsid w:val="00B42E31"/>
    <w:rsid w:val="00B45C17"/>
    <w:rsid w:val="00B45F08"/>
    <w:rsid w:val="00B46557"/>
    <w:rsid w:val="00B47EAB"/>
    <w:rsid w:val="00B500D3"/>
    <w:rsid w:val="00B50571"/>
    <w:rsid w:val="00B505AB"/>
    <w:rsid w:val="00B50952"/>
    <w:rsid w:val="00B50CE5"/>
    <w:rsid w:val="00B51073"/>
    <w:rsid w:val="00B51A25"/>
    <w:rsid w:val="00B52476"/>
    <w:rsid w:val="00B53C29"/>
    <w:rsid w:val="00B53D3C"/>
    <w:rsid w:val="00B54079"/>
    <w:rsid w:val="00B540C1"/>
    <w:rsid w:val="00B56060"/>
    <w:rsid w:val="00B56F0E"/>
    <w:rsid w:val="00B57825"/>
    <w:rsid w:val="00B648C2"/>
    <w:rsid w:val="00B64F7C"/>
    <w:rsid w:val="00B65092"/>
    <w:rsid w:val="00B66EAE"/>
    <w:rsid w:val="00B71340"/>
    <w:rsid w:val="00B71904"/>
    <w:rsid w:val="00B726B9"/>
    <w:rsid w:val="00B73458"/>
    <w:rsid w:val="00B73F25"/>
    <w:rsid w:val="00B741E1"/>
    <w:rsid w:val="00B75A02"/>
    <w:rsid w:val="00B75AD3"/>
    <w:rsid w:val="00B761AF"/>
    <w:rsid w:val="00B77349"/>
    <w:rsid w:val="00B777C7"/>
    <w:rsid w:val="00B77A11"/>
    <w:rsid w:val="00B80279"/>
    <w:rsid w:val="00B81833"/>
    <w:rsid w:val="00B819A1"/>
    <w:rsid w:val="00B819D2"/>
    <w:rsid w:val="00B83DB5"/>
    <w:rsid w:val="00B840F2"/>
    <w:rsid w:val="00B84C2F"/>
    <w:rsid w:val="00B85A2B"/>
    <w:rsid w:val="00B865A7"/>
    <w:rsid w:val="00B868D0"/>
    <w:rsid w:val="00B86C80"/>
    <w:rsid w:val="00B900DD"/>
    <w:rsid w:val="00B92903"/>
    <w:rsid w:val="00B929D2"/>
    <w:rsid w:val="00B93B88"/>
    <w:rsid w:val="00B945F4"/>
    <w:rsid w:val="00B95536"/>
    <w:rsid w:val="00B95CCB"/>
    <w:rsid w:val="00B96781"/>
    <w:rsid w:val="00BA043A"/>
    <w:rsid w:val="00BA153A"/>
    <w:rsid w:val="00BA1634"/>
    <w:rsid w:val="00BA38AD"/>
    <w:rsid w:val="00BA3962"/>
    <w:rsid w:val="00BA3B5C"/>
    <w:rsid w:val="00BA4839"/>
    <w:rsid w:val="00BA4BFF"/>
    <w:rsid w:val="00BA703B"/>
    <w:rsid w:val="00BA7EF8"/>
    <w:rsid w:val="00BB3831"/>
    <w:rsid w:val="00BB3C0D"/>
    <w:rsid w:val="00BB5605"/>
    <w:rsid w:val="00BB5E28"/>
    <w:rsid w:val="00BB6DA9"/>
    <w:rsid w:val="00BB7909"/>
    <w:rsid w:val="00BC14E9"/>
    <w:rsid w:val="00BC1952"/>
    <w:rsid w:val="00BC2B1D"/>
    <w:rsid w:val="00BC36F9"/>
    <w:rsid w:val="00BC3F62"/>
    <w:rsid w:val="00BC4F9B"/>
    <w:rsid w:val="00BC55EA"/>
    <w:rsid w:val="00BC5F0B"/>
    <w:rsid w:val="00BC6D37"/>
    <w:rsid w:val="00BD0900"/>
    <w:rsid w:val="00BD1F56"/>
    <w:rsid w:val="00BD25C0"/>
    <w:rsid w:val="00BD2F7D"/>
    <w:rsid w:val="00BD5054"/>
    <w:rsid w:val="00BD68CA"/>
    <w:rsid w:val="00BE10EF"/>
    <w:rsid w:val="00BE12EE"/>
    <w:rsid w:val="00BE331A"/>
    <w:rsid w:val="00BE3DA8"/>
    <w:rsid w:val="00BE4290"/>
    <w:rsid w:val="00BE45CD"/>
    <w:rsid w:val="00BE4F97"/>
    <w:rsid w:val="00BE51EA"/>
    <w:rsid w:val="00BE62DE"/>
    <w:rsid w:val="00BE6599"/>
    <w:rsid w:val="00BE7C69"/>
    <w:rsid w:val="00BE7D12"/>
    <w:rsid w:val="00BF3095"/>
    <w:rsid w:val="00BF4B45"/>
    <w:rsid w:val="00BF570E"/>
    <w:rsid w:val="00BF592F"/>
    <w:rsid w:val="00BF5E7F"/>
    <w:rsid w:val="00BF616D"/>
    <w:rsid w:val="00BF618D"/>
    <w:rsid w:val="00C007FD"/>
    <w:rsid w:val="00C016BD"/>
    <w:rsid w:val="00C03320"/>
    <w:rsid w:val="00C033C5"/>
    <w:rsid w:val="00C0373D"/>
    <w:rsid w:val="00C03D82"/>
    <w:rsid w:val="00C043DB"/>
    <w:rsid w:val="00C046E9"/>
    <w:rsid w:val="00C05991"/>
    <w:rsid w:val="00C062F5"/>
    <w:rsid w:val="00C075E9"/>
    <w:rsid w:val="00C0792E"/>
    <w:rsid w:val="00C07A21"/>
    <w:rsid w:val="00C10033"/>
    <w:rsid w:val="00C1012D"/>
    <w:rsid w:val="00C10C67"/>
    <w:rsid w:val="00C11227"/>
    <w:rsid w:val="00C11732"/>
    <w:rsid w:val="00C12DE4"/>
    <w:rsid w:val="00C134B2"/>
    <w:rsid w:val="00C13876"/>
    <w:rsid w:val="00C15B4B"/>
    <w:rsid w:val="00C1628A"/>
    <w:rsid w:val="00C16F41"/>
    <w:rsid w:val="00C17CBC"/>
    <w:rsid w:val="00C17DC1"/>
    <w:rsid w:val="00C215F2"/>
    <w:rsid w:val="00C22687"/>
    <w:rsid w:val="00C22A28"/>
    <w:rsid w:val="00C2322D"/>
    <w:rsid w:val="00C2335F"/>
    <w:rsid w:val="00C2354D"/>
    <w:rsid w:val="00C24C79"/>
    <w:rsid w:val="00C25DCC"/>
    <w:rsid w:val="00C302C0"/>
    <w:rsid w:val="00C309B4"/>
    <w:rsid w:val="00C30C49"/>
    <w:rsid w:val="00C30FDC"/>
    <w:rsid w:val="00C3455B"/>
    <w:rsid w:val="00C34F87"/>
    <w:rsid w:val="00C350D8"/>
    <w:rsid w:val="00C406AE"/>
    <w:rsid w:val="00C40F53"/>
    <w:rsid w:val="00C4141D"/>
    <w:rsid w:val="00C419F9"/>
    <w:rsid w:val="00C41F0C"/>
    <w:rsid w:val="00C41FE2"/>
    <w:rsid w:val="00C42306"/>
    <w:rsid w:val="00C423E1"/>
    <w:rsid w:val="00C42449"/>
    <w:rsid w:val="00C4318B"/>
    <w:rsid w:val="00C43843"/>
    <w:rsid w:val="00C44E4B"/>
    <w:rsid w:val="00C44FCB"/>
    <w:rsid w:val="00C454C8"/>
    <w:rsid w:val="00C454D9"/>
    <w:rsid w:val="00C45E1C"/>
    <w:rsid w:val="00C46DF9"/>
    <w:rsid w:val="00C50808"/>
    <w:rsid w:val="00C51B79"/>
    <w:rsid w:val="00C55ACB"/>
    <w:rsid w:val="00C57CBA"/>
    <w:rsid w:val="00C603EE"/>
    <w:rsid w:val="00C60D3C"/>
    <w:rsid w:val="00C619B3"/>
    <w:rsid w:val="00C62A69"/>
    <w:rsid w:val="00C6318A"/>
    <w:rsid w:val="00C63C64"/>
    <w:rsid w:val="00C63FCF"/>
    <w:rsid w:val="00C6622A"/>
    <w:rsid w:val="00C66626"/>
    <w:rsid w:val="00C66C37"/>
    <w:rsid w:val="00C67950"/>
    <w:rsid w:val="00C67D33"/>
    <w:rsid w:val="00C70178"/>
    <w:rsid w:val="00C702BF"/>
    <w:rsid w:val="00C7037E"/>
    <w:rsid w:val="00C72D3E"/>
    <w:rsid w:val="00C72D84"/>
    <w:rsid w:val="00C7436B"/>
    <w:rsid w:val="00C7587C"/>
    <w:rsid w:val="00C7635E"/>
    <w:rsid w:val="00C82592"/>
    <w:rsid w:val="00C82729"/>
    <w:rsid w:val="00C8296E"/>
    <w:rsid w:val="00C82A35"/>
    <w:rsid w:val="00C83AAC"/>
    <w:rsid w:val="00C8448B"/>
    <w:rsid w:val="00C86408"/>
    <w:rsid w:val="00C86DCB"/>
    <w:rsid w:val="00C92335"/>
    <w:rsid w:val="00C93915"/>
    <w:rsid w:val="00C94D96"/>
    <w:rsid w:val="00C963BB"/>
    <w:rsid w:val="00C97115"/>
    <w:rsid w:val="00C97237"/>
    <w:rsid w:val="00C979A7"/>
    <w:rsid w:val="00C97CCE"/>
    <w:rsid w:val="00C97D99"/>
    <w:rsid w:val="00CA1029"/>
    <w:rsid w:val="00CA1543"/>
    <w:rsid w:val="00CA1D9B"/>
    <w:rsid w:val="00CA2A82"/>
    <w:rsid w:val="00CA39AE"/>
    <w:rsid w:val="00CA5FB5"/>
    <w:rsid w:val="00CA65B0"/>
    <w:rsid w:val="00CA6FAD"/>
    <w:rsid w:val="00CB0099"/>
    <w:rsid w:val="00CB0328"/>
    <w:rsid w:val="00CB03F9"/>
    <w:rsid w:val="00CB07A1"/>
    <w:rsid w:val="00CB0F22"/>
    <w:rsid w:val="00CB1302"/>
    <w:rsid w:val="00CB17BF"/>
    <w:rsid w:val="00CB17C3"/>
    <w:rsid w:val="00CB1C5A"/>
    <w:rsid w:val="00CB313E"/>
    <w:rsid w:val="00CB4B4C"/>
    <w:rsid w:val="00CB5199"/>
    <w:rsid w:val="00CB54BC"/>
    <w:rsid w:val="00CB5ED0"/>
    <w:rsid w:val="00CB635D"/>
    <w:rsid w:val="00CB666B"/>
    <w:rsid w:val="00CB692F"/>
    <w:rsid w:val="00CB6ECA"/>
    <w:rsid w:val="00CB6F89"/>
    <w:rsid w:val="00CB70E3"/>
    <w:rsid w:val="00CB75C7"/>
    <w:rsid w:val="00CB7604"/>
    <w:rsid w:val="00CC179F"/>
    <w:rsid w:val="00CC2C77"/>
    <w:rsid w:val="00CC38B1"/>
    <w:rsid w:val="00CC3D69"/>
    <w:rsid w:val="00CC4D72"/>
    <w:rsid w:val="00CC5C73"/>
    <w:rsid w:val="00CC662F"/>
    <w:rsid w:val="00CC76AE"/>
    <w:rsid w:val="00CC774A"/>
    <w:rsid w:val="00CC7C33"/>
    <w:rsid w:val="00CD0107"/>
    <w:rsid w:val="00CD06B9"/>
    <w:rsid w:val="00CD0E3E"/>
    <w:rsid w:val="00CD123A"/>
    <w:rsid w:val="00CD12A0"/>
    <w:rsid w:val="00CD141A"/>
    <w:rsid w:val="00CD20C0"/>
    <w:rsid w:val="00CD2B8B"/>
    <w:rsid w:val="00CD3697"/>
    <w:rsid w:val="00CD4370"/>
    <w:rsid w:val="00CD4459"/>
    <w:rsid w:val="00CD4F51"/>
    <w:rsid w:val="00CD5370"/>
    <w:rsid w:val="00CD5C98"/>
    <w:rsid w:val="00CD6526"/>
    <w:rsid w:val="00CDBFBD"/>
    <w:rsid w:val="00CE0558"/>
    <w:rsid w:val="00CE1DE1"/>
    <w:rsid w:val="00CE397C"/>
    <w:rsid w:val="00CE3A59"/>
    <w:rsid w:val="00CE4354"/>
    <w:rsid w:val="00CE4D02"/>
    <w:rsid w:val="00CE5901"/>
    <w:rsid w:val="00CE5ED4"/>
    <w:rsid w:val="00CE6872"/>
    <w:rsid w:val="00CE731C"/>
    <w:rsid w:val="00CE7C23"/>
    <w:rsid w:val="00CF022B"/>
    <w:rsid w:val="00CF0867"/>
    <w:rsid w:val="00CF2FB0"/>
    <w:rsid w:val="00CF36F7"/>
    <w:rsid w:val="00D0124E"/>
    <w:rsid w:val="00D02FFF"/>
    <w:rsid w:val="00D04097"/>
    <w:rsid w:val="00D04339"/>
    <w:rsid w:val="00D05B56"/>
    <w:rsid w:val="00D05F6C"/>
    <w:rsid w:val="00D06395"/>
    <w:rsid w:val="00D06934"/>
    <w:rsid w:val="00D06B91"/>
    <w:rsid w:val="00D1096F"/>
    <w:rsid w:val="00D12B90"/>
    <w:rsid w:val="00D14E11"/>
    <w:rsid w:val="00D1731B"/>
    <w:rsid w:val="00D17B73"/>
    <w:rsid w:val="00D215FF"/>
    <w:rsid w:val="00D21FD8"/>
    <w:rsid w:val="00D22985"/>
    <w:rsid w:val="00D22AB7"/>
    <w:rsid w:val="00D22D20"/>
    <w:rsid w:val="00D233A1"/>
    <w:rsid w:val="00D23E6D"/>
    <w:rsid w:val="00D242DA"/>
    <w:rsid w:val="00D25827"/>
    <w:rsid w:val="00D25E18"/>
    <w:rsid w:val="00D308C4"/>
    <w:rsid w:val="00D31B5B"/>
    <w:rsid w:val="00D31F30"/>
    <w:rsid w:val="00D32984"/>
    <w:rsid w:val="00D33B1E"/>
    <w:rsid w:val="00D34C35"/>
    <w:rsid w:val="00D353B2"/>
    <w:rsid w:val="00D36232"/>
    <w:rsid w:val="00D36B83"/>
    <w:rsid w:val="00D36ED0"/>
    <w:rsid w:val="00D374CA"/>
    <w:rsid w:val="00D37524"/>
    <w:rsid w:val="00D37593"/>
    <w:rsid w:val="00D412CF"/>
    <w:rsid w:val="00D415A5"/>
    <w:rsid w:val="00D42AF2"/>
    <w:rsid w:val="00D4569B"/>
    <w:rsid w:val="00D50253"/>
    <w:rsid w:val="00D505D4"/>
    <w:rsid w:val="00D50B43"/>
    <w:rsid w:val="00D51028"/>
    <w:rsid w:val="00D51D03"/>
    <w:rsid w:val="00D52536"/>
    <w:rsid w:val="00D528F1"/>
    <w:rsid w:val="00D52CE6"/>
    <w:rsid w:val="00D54311"/>
    <w:rsid w:val="00D56489"/>
    <w:rsid w:val="00D57D27"/>
    <w:rsid w:val="00D63510"/>
    <w:rsid w:val="00D637E9"/>
    <w:rsid w:val="00D63876"/>
    <w:rsid w:val="00D63A37"/>
    <w:rsid w:val="00D65149"/>
    <w:rsid w:val="00D65465"/>
    <w:rsid w:val="00D654D3"/>
    <w:rsid w:val="00D66E44"/>
    <w:rsid w:val="00D671B8"/>
    <w:rsid w:val="00D6741C"/>
    <w:rsid w:val="00D70E3F"/>
    <w:rsid w:val="00D712EA"/>
    <w:rsid w:val="00D718D9"/>
    <w:rsid w:val="00D745EF"/>
    <w:rsid w:val="00D74F7B"/>
    <w:rsid w:val="00D7653E"/>
    <w:rsid w:val="00D77634"/>
    <w:rsid w:val="00D776AF"/>
    <w:rsid w:val="00D77B76"/>
    <w:rsid w:val="00D8111B"/>
    <w:rsid w:val="00D81127"/>
    <w:rsid w:val="00D81AC7"/>
    <w:rsid w:val="00D8262B"/>
    <w:rsid w:val="00D82BF8"/>
    <w:rsid w:val="00D83D1C"/>
    <w:rsid w:val="00D87714"/>
    <w:rsid w:val="00D87926"/>
    <w:rsid w:val="00D87B7A"/>
    <w:rsid w:val="00D903D7"/>
    <w:rsid w:val="00D9041B"/>
    <w:rsid w:val="00D904C6"/>
    <w:rsid w:val="00D91F28"/>
    <w:rsid w:val="00D936A1"/>
    <w:rsid w:val="00D94055"/>
    <w:rsid w:val="00D94B02"/>
    <w:rsid w:val="00D9502F"/>
    <w:rsid w:val="00D951B6"/>
    <w:rsid w:val="00D953B0"/>
    <w:rsid w:val="00D95791"/>
    <w:rsid w:val="00D9601A"/>
    <w:rsid w:val="00D96469"/>
    <w:rsid w:val="00D96653"/>
    <w:rsid w:val="00D96757"/>
    <w:rsid w:val="00D97845"/>
    <w:rsid w:val="00D97979"/>
    <w:rsid w:val="00D97D36"/>
    <w:rsid w:val="00DA24E4"/>
    <w:rsid w:val="00DA28F1"/>
    <w:rsid w:val="00DA3168"/>
    <w:rsid w:val="00DA46A2"/>
    <w:rsid w:val="00DA4EC6"/>
    <w:rsid w:val="00DA79FA"/>
    <w:rsid w:val="00DB0691"/>
    <w:rsid w:val="00DB164E"/>
    <w:rsid w:val="00DB20B2"/>
    <w:rsid w:val="00DB2A78"/>
    <w:rsid w:val="00DB320B"/>
    <w:rsid w:val="00DB3550"/>
    <w:rsid w:val="00DB4273"/>
    <w:rsid w:val="00DB4635"/>
    <w:rsid w:val="00DB4B32"/>
    <w:rsid w:val="00DB59E8"/>
    <w:rsid w:val="00DB5EEB"/>
    <w:rsid w:val="00DB65AD"/>
    <w:rsid w:val="00DC1D8A"/>
    <w:rsid w:val="00DC29A9"/>
    <w:rsid w:val="00DC2D84"/>
    <w:rsid w:val="00DC34B8"/>
    <w:rsid w:val="00DC3F2B"/>
    <w:rsid w:val="00DC61AB"/>
    <w:rsid w:val="00DC6CBC"/>
    <w:rsid w:val="00DD05AF"/>
    <w:rsid w:val="00DD1771"/>
    <w:rsid w:val="00DD1995"/>
    <w:rsid w:val="00DD229D"/>
    <w:rsid w:val="00DD2342"/>
    <w:rsid w:val="00DD3B4C"/>
    <w:rsid w:val="00DD4723"/>
    <w:rsid w:val="00DD4763"/>
    <w:rsid w:val="00DD489C"/>
    <w:rsid w:val="00DD5EC6"/>
    <w:rsid w:val="00DD6CC0"/>
    <w:rsid w:val="00DD7208"/>
    <w:rsid w:val="00DD722D"/>
    <w:rsid w:val="00DD759F"/>
    <w:rsid w:val="00DD7CBA"/>
    <w:rsid w:val="00DE01AB"/>
    <w:rsid w:val="00DE0937"/>
    <w:rsid w:val="00DE0C3C"/>
    <w:rsid w:val="00DE18E3"/>
    <w:rsid w:val="00DE4101"/>
    <w:rsid w:val="00DE423D"/>
    <w:rsid w:val="00DE54D7"/>
    <w:rsid w:val="00DE557C"/>
    <w:rsid w:val="00DE562D"/>
    <w:rsid w:val="00DE5945"/>
    <w:rsid w:val="00DE6398"/>
    <w:rsid w:val="00DE684F"/>
    <w:rsid w:val="00DE70F9"/>
    <w:rsid w:val="00DE7D05"/>
    <w:rsid w:val="00DE7EB5"/>
    <w:rsid w:val="00DF007D"/>
    <w:rsid w:val="00DF032D"/>
    <w:rsid w:val="00DF257D"/>
    <w:rsid w:val="00DF38F1"/>
    <w:rsid w:val="00DF45E8"/>
    <w:rsid w:val="00DF49EF"/>
    <w:rsid w:val="00DF5F1F"/>
    <w:rsid w:val="00E006C3"/>
    <w:rsid w:val="00E01534"/>
    <w:rsid w:val="00E01769"/>
    <w:rsid w:val="00E01B6A"/>
    <w:rsid w:val="00E02423"/>
    <w:rsid w:val="00E02A3F"/>
    <w:rsid w:val="00E040BB"/>
    <w:rsid w:val="00E04F59"/>
    <w:rsid w:val="00E05466"/>
    <w:rsid w:val="00E056BC"/>
    <w:rsid w:val="00E06C18"/>
    <w:rsid w:val="00E1008F"/>
    <w:rsid w:val="00E10D22"/>
    <w:rsid w:val="00E11DB4"/>
    <w:rsid w:val="00E11F76"/>
    <w:rsid w:val="00E1247A"/>
    <w:rsid w:val="00E129C5"/>
    <w:rsid w:val="00E15141"/>
    <w:rsid w:val="00E17F3E"/>
    <w:rsid w:val="00E20E80"/>
    <w:rsid w:val="00E216DF"/>
    <w:rsid w:val="00E2263F"/>
    <w:rsid w:val="00E23F26"/>
    <w:rsid w:val="00E244F1"/>
    <w:rsid w:val="00E24997"/>
    <w:rsid w:val="00E24D2F"/>
    <w:rsid w:val="00E24D84"/>
    <w:rsid w:val="00E272C0"/>
    <w:rsid w:val="00E30A25"/>
    <w:rsid w:val="00E30C8D"/>
    <w:rsid w:val="00E33137"/>
    <w:rsid w:val="00E3397A"/>
    <w:rsid w:val="00E33CBD"/>
    <w:rsid w:val="00E34119"/>
    <w:rsid w:val="00E36887"/>
    <w:rsid w:val="00E36B14"/>
    <w:rsid w:val="00E37610"/>
    <w:rsid w:val="00E37B8E"/>
    <w:rsid w:val="00E37FD0"/>
    <w:rsid w:val="00E421B8"/>
    <w:rsid w:val="00E4336D"/>
    <w:rsid w:val="00E435EE"/>
    <w:rsid w:val="00E43F00"/>
    <w:rsid w:val="00E44D3F"/>
    <w:rsid w:val="00E45381"/>
    <w:rsid w:val="00E4564A"/>
    <w:rsid w:val="00E46AC7"/>
    <w:rsid w:val="00E47534"/>
    <w:rsid w:val="00E5205B"/>
    <w:rsid w:val="00E520A9"/>
    <w:rsid w:val="00E52199"/>
    <w:rsid w:val="00E524C6"/>
    <w:rsid w:val="00E52901"/>
    <w:rsid w:val="00E53C87"/>
    <w:rsid w:val="00E541D8"/>
    <w:rsid w:val="00E542C6"/>
    <w:rsid w:val="00E54E60"/>
    <w:rsid w:val="00E5565E"/>
    <w:rsid w:val="00E56D92"/>
    <w:rsid w:val="00E57444"/>
    <w:rsid w:val="00E57718"/>
    <w:rsid w:val="00E60C90"/>
    <w:rsid w:val="00E60E4B"/>
    <w:rsid w:val="00E618E9"/>
    <w:rsid w:val="00E630B9"/>
    <w:rsid w:val="00E64D7B"/>
    <w:rsid w:val="00E65319"/>
    <w:rsid w:val="00E65AFB"/>
    <w:rsid w:val="00E65B21"/>
    <w:rsid w:val="00E66184"/>
    <w:rsid w:val="00E67321"/>
    <w:rsid w:val="00E71380"/>
    <w:rsid w:val="00E7143C"/>
    <w:rsid w:val="00E722ED"/>
    <w:rsid w:val="00E73361"/>
    <w:rsid w:val="00E747D5"/>
    <w:rsid w:val="00E74FBD"/>
    <w:rsid w:val="00E7507D"/>
    <w:rsid w:val="00E76BB4"/>
    <w:rsid w:val="00E770FD"/>
    <w:rsid w:val="00E801E0"/>
    <w:rsid w:val="00E803D5"/>
    <w:rsid w:val="00E81835"/>
    <w:rsid w:val="00E81BE7"/>
    <w:rsid w:val="00E81CD9"/>
    <w:rsid w:val="00E82968"/>
    <w:rsid w:val="00E82C00"/>
    <w:rsid w:val="00E841BB"/>
    <w:rsid w:val="00E86AAE"/>
    <w:rsid w:val="00E86D25"/>
    <w:rsid w:val="00E87CA6"/>
    <w:rsid w:val="00E87E1A"/>
    <w:rsid w:val="00E91AB1"/>
    <w:rsid w:val="00E91DB3"/>
    <w:rsid w:val="00E9241B"/>
    <w:rsid w:val="00E92EDB"/>
    <w:rsid w:val="00E93378"/>
    <w:rsid w:val="00E938D3"/>
    <w:rsid w:val="00E96080"/>
    <w:rsid w:val="00E96BA0"/>
    <w:rsid w:val="00E97C45"/>
    <w:rsid w:val="00E97DA7"/>
    <w:rsid w:val="00EA171C"/>
    <w:rsid w:val="00EA26B2"/>
    <w:rsid w:val="00EA3292"/>
    <w:rsid w:val="00EA3507"/>
    <w:rsid w:val="00EA4516"/>
    <w:rsid w:val="00EA517D"/>
    <w:rsid w:val="00EA52EF"/>
    <w:rsid w:val="00EA58AC"/>
    <w:rsid w:val="00EA7A8D"/>
    <w:rsid w:val="00EA7C23"/>
    <w:rsid w:val="00EB09CA"/>
    <w:rsid w:val="00EB0E22"/>
    <w:rsid w:val="00EB22DC"/>
    <w:rsid w:val="00EB2C1A"/>
    <w:rsid w:val="00EB2C9F"/>
    <w:rsid w:val="00EB2D00"/>
    <w:rsid w:val="00EB529B"/>
    <w:rsid w:val="00EB5563"/>
    <w:rsid w:val="00EC1A4F"/>
    <w:rsid w:val="00EC1B59"/>
    <w:rsid w:val="00EC4A8F"/>
    <w:rsid w:val="00EC64A7"/>
    <w:rsid w:val="00ED018B"/>
    <w:rsid w:val="00ED1CD4"/>
    <w:rsid w:val="00ED22FA"/>
    <w:rsid w:val="00ED5FF5"/>
    <w:rsid w:val="00ED690E"/>
    <w:rsid w:val="00ED75F1"/>
    <w:rsid w:val="00EE013B"/>
    <w:rsid w:val="00EE052F"/>
    <w:rsid w:val="00EE0DF9"/>
    <w:rsid w:val="00EE1081"/>
    <w:rsid w:val="00EE11FE"/>
    <w:rsid w:val="00EE1BEA"/>
    <w:rsid w:val="00EE1CC9"/>
    <w:rsid w:val="00EE288E"/>
    <w:rsid w:val="00EE397A"/>
    <w:rsid w:val="00EE4CF2"/>
    <w:rsid w:val="00EE5113"/>
    <w:rsid w:val="00EE619D"/>
    <w:rsid w:val="00EE795A"/>
    <w:rsid w:val="00EE7DD5"/>
    <w:rsid w:val="00EE7F6E"/>
    <w:rsid w:val="00EF0FE4"/>
    <w:rsid w:val="00EF2DC5"/>
    <w:rsid w:val="00EF4247"/>
    <w:rsid w:val="00EF483F"/>
    <w:rsid w:val="00EF4B08"/>
    <w:rsid w:val="00EF4CDF"/>
    <w:rsid w:val="00EF70F3"/>
    <w:rsid w:val="00EF7447"/>
    <w:rsid w:val="00EF7CE8"/>
    <w:rsid w:val="00EF7ED3"/>
    <w:rsid w:val="00F0069D"/>
    <w:rsid w:val="00F009EF"/>
    <w:rsid w:val="00F00B75"/>
    <w:rsid w:val="00F00F0B"/>
    <w:rsid w:val="00F00F98"/>
    <w:rsid w:val="00F0153B"/>
    <w:rsid w:val="00F033E3"/>
    <w:rsid w:val="00F03CE2"/>
    <w:rsid w:val="00F03FDC"/>
    <w:rsid w:val="00F045E4"/>
    <w:rsid w:val="00F0574B"/>
    <w:rsid w:val="00F05EF9"/>
    <w:rsid w:val="00F0641E"/>
    <w:rsid w:val="00F104E1"/>
    <w:rsid w:val="00F11980"/>
    <w:rsid w:val="00F133EC"/>
    <w:rsid w:val="00F135CD"/>
    <w:rsid w:val="00F14032"/>
    <w:rsid w:val="00F14ACB"/>
    <w:rsid w:val="00F14C53"/>
    <w:rsid w:val="00F15CF6"/>
    <w:rsid w:val="00F167F9"/>
    <w:rsid w:val="00F16FF4"/>
    <w:rsid w:val="00F17607"/>
    <w:rsid w:val="00F20881"/>
    <w:rsid w:val="00F23570"/>
    <w:rsid w:val="00F24D0D"/>
    <w:rsid w:val="00F25567"/>
    <w:rsid w:val="00F255DA"/>
    <w:rsid w:val="00F260AC"/>
    <w:rsid w:val="00F260F4"/>
    <w:rsid w:val="00F26FE6"/>
    <w:rsid w:val="00F276E2"/>
    <w:rsid w:val="00F27846"/>
    <w:rsid w:val="00F301A9"/>
    <w:rsid w:val="00F30763"/>
    <w:rsid w:val="00F30BC8"/>
    <w:rsid w:val="00F30DAD"/>
    <w:rsid w:val="00F3157B"/>
    <w:rsid w:val="00F33BF3"/>
    <w:rsid w:val="00F34023"/>
    <w:rsid w:val="00F37171"/>
    <w:rsid w:val="00F373EF"/>
    <w:rsid w:val="00F37A55"/>
    <w:rsid w:val="00F37CC2"/>
    <w:rsid w:val="00F416DD"/>
    <w:rsid w:val="00F42000"/>
    <w:rsid w:val="00F42BCD"/>
    <w:rsid w:val="00F44AA4"/>
    <w:rsid w:val="00F4556F"/>
    <w:rsid w:val="00F45669"/>
    <w:rsid w:val="00F465B2"/>
    <w:rsid w:val="00F46A07"/>
    <w:rsid w:val="00F46B8F"/>
    <w:rsid w:val="00F46C3A"/>
    <w:rsid w:val="00F4706A"/>
    <w:rsid w:val="00F47638"/>
    <w:rsid w:val="00F50AC3"/>
    <w:rsid w:val="00F50B1A"/>
    <w:rsid w:val="00F50D6B"/>
    <w:rsid w:val="00F513A3"/>
    <w:rsid w:val="00F5153F"/>
    <w:rsid w:val="00F532E3"/>
    <w:rsid w:val="00F5339C"/>
    <w:rsid w:val="00F53E2D"/>
    <w:rsid w:val="00F5635C"/>
    <w:rsid w:val="00F56612"/>
    <w:rsid w:val="00F56BF7"/>
    <w:rsid w:val="00F60E94"/>
    <w:rsid w:val="00F61FB1"/>
    <w:rsid w:val="00F6225A"/>
    <w:rsid w:val="00F624A3"/>
    <w:rsid w:val="00F62BD4"/>
    <w:rsid w:val="00F637A5"/>
    <w:rsid w:val="00F64D01"/>
    <w:rsid w:val="00F7043A"/>
    <w:rsid w:val="00F7043F"/>
    <w:rsid w:val="00F705AF"/>
    <w:rsid w:val="00F70760"/>
    <w:rsid w:val="00F708A5"/>
    <w:rsid w:val="00F70902"/>
    <w:rsid w:val="00F71BB1"/>
    <w:rsid w:val="00F71ECC"/>
    <w:rsid w:val="00F722FC"/>
    <w:rsid w:val="00F72EF2"/>
    <w:rsid w:val="00F730C5"/>
    <w:rsid w:val="00F7478B"/>
    <w:rsid w:val="00F76149"/>
    <w:rsid w:val="00F805E3"/>
    <w:rsid w:val="00F80AAC"/>
    <w:rsid w:val="00F80EE1"/>
    <w:rsid w:val="00F80EFB"/>
    <w:rsid w:val="00F81776"/>
    <w:rsid w:val="00F8229F"/>
    <w:rsid w:val="00F829C8"/>
    <w:rsid w:val="00F83A7C"/>
    <w:rsid w:val="00F84462"/>
    <w:rsid w:val="00F84ABA"/>
    <w:rsid w:val="00F85EFD"/>
    <w:rsid w:val="00F86064"/>
    <w:rsid w:val="00F8634D"/>
    <w:rsid w:val="00F87E5A"/>
    <w:rsid w:val="00F92189"/>
    <w:rsid w:val="00F92710"/>
    <w:rsid w:val="00F92806"/>
    <w:rsid w:val="00F93FDE"/>
    <w:rsid w:val="00F94054"/>
    <w:rsid w:val="00F9461B"/>
    <w:rsid w:val="00FA04D9"/>
    <w:rsid w:val="00FA05AA"/>
    <w:rsid w:val="00FA0B9F"/>
    <w:rsid w:val="00FA13C2"/>
    <w:rsid w:val="00FA1616"/>
    <w:rsid w:val="00FA17B6"/>
    <w:rsid w:val="00FA1805"/>
    <w:rsid w:val="00FA442E"/>
    <w:rsid w:val="00FA5204"/>
    <w:rsid w:val="00FA5F85"/>
    <w:rsid w:val="00FA6BC4"/>
    <w:rsid w:val="00FA6C3D"/>
    <w:rsid w:val="00FA7274"/>
    <w:rsid w:val="00FB04FA"/>
    <w:rsid w:val="00FB0A78"/>
    <w:rsid w:val="00FB0F0A"/>
    <w:rsid w:val="00FB1A25"/>
    <w:rsid w:val="00FB201F"/>
    <w:rsid w:val="00FB2925"/>
    <w:rsid w:val="00FB2D00"/>
    <w:rsid w:val="00FB30A4"/>
    <w:rsid w:val="00FB4620"/>
    <w:rsid w:val="00FB6436"/>
    <w:rsid w:val="00FB65A6"/>
    <w:rsid w:val="00FB68DC"/>
    <w:rsid w:val="00FB695E"/>
    <w:rsid w:val="00FB6F2D"/>
    <w:rsid w:val="00FB7653"/>
    <w:rsid w:val="00FC037C"/>
    <w:rsid w:val="00FC064C"/>
    <w:rsid w:val="00FC1298"/>
    <w:rsid w:val="00FC191C"/>
    <w:rsid w:val="00FC27F9"/>
    <w:rsid w:val="00FC3A0F"/>
    <w:rsid w:val="00FC3CB7"/>
    <w:rsid w:val="00FC3E0A"/>
    <w:rsid w:val="00FC4E98"/>
    <w:rsid w:val="00FC4EB4"/>
    <w:rsid w:val="00FC56DA"/>
    <w:rsid w:val="00FC5BF7"/>
    <w:rsid w:val="00FC5CC4"/>
    <w:rsid w:val="00FC6862"/>
    <w:rsid w:val="00FC6E73"/>
    <w:rsid w:val="00FC7103"/>
    <w:rsid w:val="00FD126D"/>
    <w:rsid w:val="00FD1C78"/>
    <w:rsid w:val="00FD1E59"/>
    <w:rsid w:val="00FD2711"/>
    <w:rsid w:val="00FD2758"/>
    <w:rsid w:val="00FD5210"/>
    <w:rsid w:val="00FD5663"/>
    <w:rsid w:val="00FD5899"/>
    <w:rsid w:val="00FD5940"/>
    <w:rsid w:val="00FD5A39"/>
    <w:rsid w:val="00FD68C4"/>
    <w:rsid w:val="00FE06AF"/>
    <w:rsid w:val="00FE0D0A"/>
    <w:rsid w:val="00FE2477"/>
    <w:rsid w:val="00FE271B"/>
    <w:rsid w:val="00FE2B0F"/>
    <w:rsid w:val="00FE3541"/>
    <w:rsid w:val="00FE383F"/>
    <w:rsid w:val="00FE404C"/>
    <w:rsid w:val="00FE417A"/>
    <w:rsid w:val="00FE423D"/>
    <w:rsid w:val="00FE4471"/>
    <w:rsid w:val="00FE4755"/>
    <w:rsid w:val="00FE4F4C"/>
    <w:rsid w:val="00FE7DDB"/>
    <w:rsid w:val="00FF0224"/>
    <w:rsid w:val="00FF0DC3"/>
    <w:rsid w:val="00FF1F83"/>
    <w:rsid w:val="00FF2C5E"/>
    <w:rsid w:val="00FF3665"/>
    <w:rsid w:val="00FF44A6"/>
    <w:rsid w:val="00FF4692"/>
    <w:rsid w:val="00FF48EC"/>
    <w:rsid w:val="00FF4F67"/>
    <w:rsid w:val="00FF55E1"/>
    <w:rsid w:val="011F905C"/>
    <w:rsid w:val="01831B5B"/>
    <w:rsid w:val="0409858B"/>
    <w:rsid w:val="049BE7BC"/>
    <w:rsid w:val="06EC086B"/>
    <w:rsid w:val="07674D79"/>
    <w:rsid w:val="08E4A375"/>
    <w:rsid w:val="0B2E1427"/>
    <w:rsid w:val="0CC6180A"/>
    <w:rsid w:val="0E5F39ED"/>
    <w:rsid w:val="0EEEB159"/>
    <w:rsid w:val="0FF73161"/>
    <w:rsid w:val="12DF103A"/>
    <w:rsid w:val="152F359E"/>
    <w:rsid w:val="1722150C"/>
    <w:rsid w:val="18414F66"/>
    <w:rsid w:val="1C313489"/>
    <w:rsid w:val="23EF16AD"/>
    <w:rsid w:val="240A236D"/>
    <w:rsid w:val="298A3588"/>
    <w:rsid w:val="2CAC1E14"/>
    <w:rsid w:val="2F6583E2"/>
    <w:rsid w:val="33F53B8E"/>
    <w:rsid w:val="340920A6"/>
    <w:rsid w:val="34183273"/>
    <w:rsid w:val="34199B54"/>
    <w:rsid w:val="34A48A88"/>
    <w:rsid w:val="364E20B5"/>
    <w:rsid w:val="37B08723"/>
    <w:rsid w:val="4000B75F"/>
    <w:rsid w:val="40E73CBF"/>
    <w:rsid w:val="420BA7E6"/>
    <w:rsid w:val="46F64CE4"/>
    <w:rsid w:val="4B742B1B"/>
    <w:rsid w:val="522069AD"/>
    <w:rsid w:val="52794886"/>
    <w:rsid w:val="556B63DF"/>
    <w:rsid w:val="55AB5254"/>
    <w:rsid w:val="569D56AE"/>
    <w:rsid w:val="5BFB151C"/>
    <w:rsid w:val="5E5727E1"/>
    <w:rsid w:val="61345310"/>
    <w:rsid w:val="62DEDB88"/>
    <w:rsid w:val="683E74A9"/>
    <w:rsid w:val="6FF7A07E"/>
    <w:rsid w:val="7020A5DE"/>
    <w:rsid w:val="70873615"/>
    <w:rsid w:val="70DF7775"/>
    <w:rsid w:val="73087DC1"/>
    <w:rsid w:val="73BF5D91"/>
    <w:rsid w:val="759A934F"/>
    <w:rsid w:val="75AB31F8"/>
    <w:rsid w:val="79EFD119"/>
    <w:rsid w:val="7C5C0DE0"/>
    <w:rsid w:val="7DDD91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C786478"/>
  <w15:docId w15:val="{8F479D06-9D02-D741-BD3A-ACB49A79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962"/>
    <w:rPr>
      <w:rFonts w:eastAsia="Times New Roman"/>
      <w:sz w:val="24"/>
      <w:szCs w:val="24"/>
      <w:lang w:eastAsia="en-GB"/>
    </w:rPr>
  </w:style>
  <w:style w:type="paragraph" w:styleId="Heading1">
    <w:name w:val="heading 1"/>
    <w:basedOn w:val="Normal"/>
    <w:next w:val="BodytextRPC"/>
    <w:link w:val="Heading1Char"/>
    <w:uiPriority w:val="9"/>
    <w:qFormat/>
    <w:rsid w:val="00785BDF"/>
    <w:pPr>
      <w:keepNext/>
      <w:spacing w:before="400" w:after="40" w:line="276" w:lineRule="auto"/>
      <w:outlineLvl w:val="0"/>
    </w:pPr>
    <w:rPr>
      <w:rFonts w:ascii="Arial" w:eastAsia="Calibri" w:hAnsi="Arial" w:cs="Calibri"/>
      <w:b/>
      <w:color w:val="31849B" w:themeColor="accent5" w:themeShade="BF"/>
      <w:sz w:val="36"/>
      <w:szCs w:val="32"/>
      <w:lang w:eastAsia="en-US"/>
    </w:rPr>
  </w:style>
  <w:style w:type="paragraph" w:styleId="Heading2">
    <w:name w:val="heading 2"/>
    <w:basedOn w:val="Normal"/>
    <w:next w:val="BodytextRPC"/>
    <w:link w:val="Heading2Char"/>
    <w:uiPriority w:val="9"/>
    <w:qFormat/>
    <w:rsid w:val="00FA1805"/>
    <w:pPr>
      <w:keepNext/>
      <w:numPr>
        <w:ilvl w:val="1"/>
        <w:numId w:val="3"/>
      </w:numPr>
      <w:spacing w:before="300" w:after="80" w:line="276" w:lineRule="auto"/>
      <w:outlineLvl w:val="1"/>
    </w:pPr>
    <w:rPr>
      <w:rFonts w:ascii="Arial" w:eastAsia="Calibri" w:hAnsi="Arial" w:cs="Calibri"/>
      <w:color w:val="31849B" w:themeColor="accent5" w:themeShade="BF"/>
      <w:sz w:val="28"/>
      <w:szCs w:val="28"/>
      <w:lang w:eastAsia="en-US"/>
    </w:rPr>
  </w:style>
  <w:style w:type="paragraph" w:styleId="Heading3">
    <w:name w:val="heading 3"/>
    <w:basedOn w:val="Normal"/>
    <w:next w:val="BodytextRPC"/>
    <w:link w:val="Heading3Char"/>
    <w:uiPriority w:val="9"/>
    <w:qFormat/>
    <w:rsid w:val="00CD20C0"/>
    <w:pPr>
      <w:keepNext/>
      <w:numPr>
        <w:ilvl w:val="2"/>
        <w:numId w:val="3"/>
      </w:numPr>
      <w:spacing w:before="300" w:line="276" w:lineRule="auto"/>
      <w:outlineLvl w:val="2"/>
    </w:pPr>
    <w:rPr>
      <w:rFonts w:ascii="Arial" w:eastAsia="Calibri" w:hAnsi="Arial" w:cs="Calibri"/>
      <w:color w:val="31849B" w:themeColor="accent5" w:themeShade="BF"/>
      <w:lang w:eastAsia="en-US"/>
    </w:rPr>
  </w:style>
  <w:style w:type="paragraph" w:styleId="Heading4">
    <w:name w:val="heading 4"/>
    <w:basedOn w:val="Normal"/>
    <w:next w:val="BodytextRPC"/>
    <w:link w:val="Heading4Char"/>
    <w:uiPriority w:val="99"/>
    <w:qFormat/>
    <w:rsid w:val="006537FE"/>
    <w:pPr>
      <w:keepNext/>
      <w:numPr>
        <w:ilvl w:val="3"/>
        <w:numId w:val="3"/>
      </w:numPr>
      <w:spacing w:before="240" w:line="276" w:lineRule="auto"/>
      <w:outlineLvl w:val="3"/>
    </w:pPr>
    <w:rPr>
      <w:rFonts w:ascii="Arial" w:eastAsia="Calibri" w:hAnsi="Arial" w:cs="Calibri"/>
      <w:sz w:val="22"/>
      <w:szCs w:val="20"/>
      <w:lang w:eastAsia="en-US"/>
    </w:rPr>
  </w:style>
  <w:style w:type="paragraph" w:styleId="Heading5">
    <w:name w:val="heading 5"/>
    <w:basedOn w:val="Normal"/>
    <w:next w:val="BodytextRPC"/>
    <w:link w:val="Heading5Char"/>
    <w:uiPriority w:val="99"/>
    <w:unhideWhenUsed/>
    <w:qFormat/>
    <w:rsid w:val="00D415A5"/>
    <w:pPr>
      <w:spacing w:before="200" w:line="276" w:lineRule="auto"/>
      <w:outlineLvl w:val="4"/>
    </w:pPr>
    <w:rPr>
      <w:rFonts w:asciiTheme="minorHAnsi" w:eastAsia="Calibri" w:hAnsiTheme="minorHAnsi" w:cs="Calibri"/>
      <w:b/>
      <w:sz w:val="22"/>
      <w:szCs w:val="26"/>
      <w:lang w:eastAsia="en-US"/>
    </w:rPr>
  </w:style>
  <w:style w:type="paragraph" w:styleId="Heading6">
    <w:name w:val="heading 6"/>
    <w:aliases w:val="Heading 6 figure"/>
    <w:basedOn w:val="Normal"/>
    <w:next w:val="BodytextRPC"/>
    <w:link w:val="Heading6Char"/>
    <w:uiPriority w:val="9"/>
    <w:qFormat/>
    <w:rsid w:val="00CB6F89"/>
    <w:pPr>
      <w:keepNext/>
      <w:spacing w:line="276" w:lineRule="auto"/>
      <w:outlineLvl w:val="5"/>
    </w:pPr>
    <w:rPr>
      <w:rFonts w:ascii="Calibri" w:eastAsia="Calibri" w:hAnsi="Calibri" w:cs="Calibri"/>
      <w:b/>
      <w:sz w:val="22"/>
      <w:szCs w:val="20"/>
      <w:lang w:eastAsia="en-US"/>
    </w:rPr>
  </w:style>
  <w:style w:type="paragraph" w:styleId="Heading7">
    <w:name w:val="heading 7"/>
    <w:aliases w:val="Heading 7 Box"/>
    <w:basedOn w:val="Normal"/>
    <w:next w:val="BodytextRPC"/>
    <w:link w:val="Heading7Char"/>
    <w:uiPriority w:val="99"/>
    <w:qFormat/>
    <w:rsid w:val="00CB6F89"/>
    <w:pPr>
      <w:keepNext/>
      <w:spacing w:line="276" w:lineRule="auto"/>
      <w:outlineLvl w:val="6"/>
    </w:pPr>
    <w:rPr>
      <w:rFonts w:ascii="Calibri" w:eastAsia="Calibri" w:hAnsi="Calibri" w:cs="Calibri"/>
      <w:b/>
      <w:sz w:val="22"/>
      <w:szCs w:val="20"/>
      <w:lang w:eastAsia="en-US"/>
    </w:rPr>
  </w:style>
  <w:style w:type="paragraph" w:styleId="Heading8">
    <w:name w:val="heading 8"/>
    <w:aliases w:val="Heading 8 Table"/>
    <w:basedOn w:val="Normal"/>
    <w:next w:val="BodytextRPC"/>
    <w:link w:val="Heading8Char"/>
    <w:uiPriority w:val="9"/>
    <w:qFormat/>
    <w:rsid w:val="00CB6F89"/>
    <w:pPr>
      <w:keepNext/>
      <w:spacing w:line="276" w:lineRule="auto"/>
      <w:outlineLvl w:val="7"/>
    </w:pPr>
    <w:rPr>
      <w:rFonts w:ascii="Calibri" w:eastAsia="Calibri" w:hAnsi="Calibri"/>
      <w:b/>
      <w:sz w:val="22"/>
      <w:szCs w:val="20"/>
      <w:lang w:eastAsia="en-US"/>
    </w:rPr>
  </w:style>
  <w:style w:type="paragraph" w:styleId="Heading9">
    <w:name w:val="heading 9"/>
    <w:basedOn w:val="Normal"/>
    <w:next w:val="Normal"/>
    <w:link w:val="Heading9Char"/>
    <w:uiPriority w:val="99"/>
    <w:unhideWhenUsed/>
    <w:qFormat/>
    <w:rsid w:val="006537FE"/>
    <w:pPr>
      <w:spacing w:line="276" w:lineRule="auto"/>
      <w:outlineLvl w:val="8"/>
    </w:pPr>
    <w:rPr>
      <w:rFonts w:ascii="Calibri" w:eastAsia="Calibri" w:hAnsi="Calibri" w:cs="Calibri"/>
      <w:b/>
      <w:i/>
      <w:smallCaps/>
      <w:color w:val="622423"/>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RPC">
    <w:name w:val="Body text RPC"/>
    <w:basedOn w:val="Normal"/>
    <w:link w:val="BodytextRPCChar"/>
    <w:qFormat/>
    <w:rsid w:val="00F81776"/>
    <w:pPr>
      <w:spacing w:after="200" w:line="276" w:lineRule="auto"/>
    </w:pPr>
    <w:rPr>
      <w:rFonts w:ascii="Calibri" w:eastAsia="Calibri" w:hAnsi="Calibri" w:cs="Calibri"/>
      <w:sz w:val="22"/>
      <w:szCs w:val="20"/>
      <w:lang w:eastAsia="en-US"/>
    </w:rPr>
  </w:style>
  <w:style w:type="character" w:customStyle="1" w:styleId="BodytextRPCChar">
    <w:name w:val="Body text RPC Char"/>
    <w:basedOn w:val="DefaultParagraphFont"/>
    <w:link w:val="BodytextRPC"/>
    <w:rsid w:val="00F81776"/>
    <w:rPr>
      <w:rFonts w:ascii="Calibri" w:hAnsi="Calibri" w:cs="Calibri"/>
      <w:sz w:val="22"/>
      <w:lang w:eastAsia="en-US"/>
    </w:rPr>
  </w:style>
  <w:style w:type="character" w:customStyle="1" w:styleId="Heading1Char">
    <w:name w:val="Heading 1 Char"/>
    <w:basedOn w:val="DefaultParagraphFont"/>
    <w:link w:val="Heading1"/>
    <w:uiPriority w:val="9"/>
    <w:rsid w:val="00785BDF"/>
    <w:rPr>
      <w:rFonts w:ascii="Arial" w:hAnsi="Arial" w:cs="Calibri"/>
      <w:b/>
      <w:color w:val="31849B" w:themeColor="accent5" w:themeShade="BF"/>
      <w:sz w:val="36"/>
      <w:szCs w:val="32"/>
      <w:lang w:eastAsia="en-US"/>
    </w:rPr>
  </w:style>
  <w:style w:type="character" w:customStyle="1" w:styleId="Heading2Char">
    <w:name w:val="Heading 2 Char"/>
    <w:basedOn w:val="DefaultParagraphFont"/>
    <w:link w:val="Heading2"/>
    <w:uiPriority w:val="9"/>
    <w:rsid w:val="00FA1805"/>
    <w:rPr>
      <w:rFonts w:ascii="Arial" w:hAnsi="Arial" w:cs="Calibri"/>
      <w:color w:val="31849B" w:themeColor="accent5" w:themeShade="BF"/>
      <w:sz w:val="28"/>
      <w:szCs w:val="28"/>
      <w:lang w:eastAsia="en-US"/>
    </w:rPr>
  </w:style>
  <w:style w:type="character" w:customStyle="1" w:styleId="Heading3Char">
    <w:name w:val="Heading 3 Char"/>
    <w:basedOn w:val="DefaultParagraphFont"/>
    <w:link w:val="Heading3"/>
    <w:uiPriority w:val="9"/>
    <w:rsid w:val="00CD20C0"/>
    <w:rPr>
      <w:rFonts w:ascii="Arial" w:hAnsi="Arial" w:cs="Calibri"/>
      <w:color w:val="31849B" w:themeColor="accent5" w:themeShade="BF"/>
      <w:sz w:val="24"/>
      <w:szCs w:val="24"/>
      <w:lang w:eastAsia="en-US"/>
    </w:rPr>
  </w:style>
  <w:style w:type="character" w:customStyle="1" w:styleId="Heading4Char">
    <w:name w:val="Heading 4 Char"/>
    <w:basedOn w:val="DefaultParagraphFont"/>
    <w:link w:val="Heading4"/>
    <w:uiPriority w:val="99"/>
    <w:rsid w:val="006537FE"/>
    <w:rPr>
      <w:rFonts w:ascii="Arial" w:hAnsi="Arial" w:cs="Calibri"/>
      <w:sz w:val="22"/>
      <w:lang w:eastAsia="en-US"/>
    </w:rPr>
  </w:style>
  <w:style w:type="character" w:customStyle="1" w:styleId="Heading5Char">
    <w:name w:val="Heading 5 Char"/>
    <w:basedOn w:val="DefaultParagraphFont"/>
    <w:link w:val="Heading5"/>
    <w:uiPriority w:val="99"/>
    <w:rsid w:val="00D415A5"/>
    <w:rPr>
      <w:rFonts w:asciiTheme="minorHAnsi" w:hAnsiTheme="minorHAnsi" w:cs="Calibri"/>
      <w:b/>
      <w:sz w:val="22"/>
      <w:szCs w:val="26"/>
      <w:lang w:eastAsia="en-US"/>
    </w:rPr>
  </w:style>
  <w:style w:type="character" w:customStyle="1" w:styleId="Heading6Char">
    <w:name w:val="Heading 6 Char"/>
    <w:aliases w:val="Heading 6 figure Char"/>
    <w:basedOn w:val="DefaultParagraphFont"/>
    <w:link w:val="Heading6"/>
    <w:uiPriority w:val="9"/>
    <w:rsid w:val="00CB6F89"/>
    <w:rPr>
      <w:rFonts w:ascii="Calibri" w:hAnsi="Calibri" w:cs="Calibri"/>
      <w:b/>
      <w:sz w:val="22"/>
      <w:lang w:eastAsia="en-US"/>
    </w:rPr>
  </w:style>
  <w:style w:type="character" w:customStyle="1" w:styleId="Heading7Char">
    <w:name w:val="Heading 7 Char"/>
    <w:aliases w:val="Heading 7 Box Char"/>
    <w:basedOn w:val="DefaultParagraphFont"/>
    <w:link w:val="Heading7"/>
    <w:uiPriority w:val="99"/>
    <w:rsid w:val="00CB6F89"/>
    <w:rPr>
      <w:rFonts w:ascii="Calibri" w:hAnsi="Calibri" w:cs="Calibri"/>
      <w:b/>
      <w:sz w:val="22"/>
      <w:lang w:eastAsia="en-US"/>
    </w:rPr>
  </w:style>
  <w:style w:type="character" w:customStyle="1" w:styleId="Heading8Char">
    <w:name w:val="Heading 8 Char"/>
    <w:aliases w:val="Heading 8 Table Char"/>
    <w:link w:val="Heading8"/>
    <w:uiPriority w:val="9"/>
    <w:rsid w:val="00CB6F89"/>
    <w:rPr>
      <w:rFonts w:ascii="Calibri" w:hAnsi="Calibri"/>
      <w:b/>
      <w:sz w:val="22"/>
      <w:lang w:eastAsia="en-US"/>
    </w:rPr>
  </w:style>
  <w:style w:type="character" w:customStyle="1" w:styleId="Heading9Char">
    <w:name w:val="Heading 9 Char"/>
    <w:basedOn w:val="DefaultParagraphFont"/>
    <w:link w:val="Heading9"/>
    <w:uiPriority w:val="99"/>
    <w:rsid w:val="006537FE"/>
    <w:rPr>
      <w:rFonts w:ascii="Calibri" w:hAnsi="Calibri" w:cs="Calibri"/>
      <w:b/>
      <w:i/>
      <w:smallCaps/>
      <w:color w:val="622423"/>
      <w:lang w:eastAsia="en-US"/>
    </w:rPr>
  </w:style>
  <w:style w:type="paragraph" w:styleId="Caption">
    <w:name w:val="caption"/>
    <w:aliases w:val="Caption RPC"/>
    <w:basedOn w:val="BodytextRPC"/>
    <w:next w:val="BodytextRPC"/>
    <w:uiPriority w:val="35"/>
    <w:unhideWhenUsed/>
    <w:qFormat/>
    <w:rsid w:val="00384D26"/>
    <w:pPr>
      <w:keepNext/>
      <w:spacing w:after="0"/>
    </w:pPr>
    <w:rPr>
      <w:b/>
      <w:bCs/>
      <w:szCs w:val="18"/>
    </w:rPr>
  </w:style>
  <w:style w:type="paragraph" w:styleId="Title">
    <w:name w:val="Title"/>
    <w:basedOn w:val="Normal"/>
    <w:next w:val="BodytextRPC"/>
    <w:link w:val="TitleChar"/>
    <w:uiPriority w:val="99"/>
    <w:qFormat/>
    <w:rsid w:val="00EE1CC9"/>
    <w:pPr>
      <w:spacing w:after="200" w:line="276" w:lineRule="auto"/>
      <w:ind w:left="-567"/>
    </w:pPr>
    <w:rPr>
      <w:rFonts w:ascii="Arial" w:eastAsia="Calibri" w:hAnsi="Arial" w:cs="Calibri"/>
      <w:sz w:val="80"/>
      <w:szCs w:val="80"/>
      <w:lang w:eastAsia="en-US"/>
    </w:rPr>
  </w:style>
  <w:style w:type="character" w:customStyle="1" w:styleId="TitleChar">
    <w:name w:val="Title Char"/>
    <w:basedOn w:val="DefaultParagraphFont"/>
    <w:link w:val="Title"/>
    <w:uiPriority w:val="99"/>
    <w:rsid w:val="00EE1CC9"/>
    <w:rPr>
      <w:rFonts w:ascii="Arial" w:hAnsi="Arial" w:cs="Calibri"/>
      <w:sz w:val="80"/>
      <w:szCs w:val="80"/>
      <w:lang w:eastAsia="en-US"/>
    </w:rPr>
  </w:style>
  <w:style w:type="paragraph" w:styleId="Subtitle">
    <w:name w:val="Subtitle"/>
    <w:basedOn w:val="Normal"/>
    <w:next w:val="BodytextRPC"/>
    <w:link w:val="SubtitleChar"/>
    <w:uiPriority w:val="99"/>
    <w:qFormat/>
    <w:rsid w:val="00EE1CC9"/>
    <w:pPr>
      <w:spacing w:after="200" w:line="276" w:lineRule="auto"/>
      <w:ind w:left="-567"/>
    </w:pPr>
    <w:rPr>
      <w:rFonts w:ascii="Arial" w:hAnsi="Arial" w:cs="Calibri"/>
      <w:sz w:val="44"/>
      <w:szCs w:val="22"/>
      <w:lang w:eastAsia="en-US"/>
    </w:rPr>
  </w:style>
  <w:style w:type="character" w:customStyle="1" w:styleId="SubtitleChar">
    <w:name w:val="Subtitle Char"/>
    <w:basedOn w:val="DefaultParagraphFont"/>
    <w:link w:val="Subtitle"/>
    <w:uiPriority w:val="99"/>
    <w:rsid w:val="00EE1CC9"/>
    <w:rPr>
      <w:rFonts w:ascii="Arial" w:eastAsia="Times New Roman" w:hAnsi="Arial" w:cs="Calibri"/>
      <w:sz w:val="44"/>
      <w:szCs w:val="22"/>
      <w:lang w:eastAsia="en-US"/>
    </w:rPr>
  </w:style>
  <w:style w:type="character" w:styleId="FollowedHyperlink">
    <w:name w:val="FollowedHyperlink"/>
    <w:basedOn w:val="DefaultParagraphFont"/>
    <w:uiPriority w:val="99"/>
    <w:rsid w:val="00F81776"/>
    <w:rPr>
      <w:rFonts w:ascii="Calibri" w:hAnsi="Calibri"/>
      <w:color w:val="0000FF"/>
      <w:u w:val="none"/>
    </w:rPr>
  </w:style>
  <w:style w:type="paragraph" w:styleId="NoSpacing">
    <w:name w:val="No Spacing"/>
    <w:basedOn w:val="Normal"/>
    <w:link w:val="NoSpacingChar"/>
    <w:uiPriority w:val="1"/>
    <w:qFormat/>
    <w:rsid w:val="006537FE"/>
    <w:pPr>
      <w:jc w:val="both"/>
    </w:pPr>
    <w:rPr>
      <w:rFonts w:ascii="Calibri" w:eastAsia="Calibri" w:hAnsi="Calibri" w:cs="Calibri"/>
      <w:sz w:val="20"/>
      <w:szCs w:val="20"/>
      <w:lang w:eastAsia="en-US"/>
    </w:rPr>
  </w:style>
  <w:style w:type="character" w:customStyle="1" w:styleId="NoSpacingChar">
    <w:name w:val="No Spacing Char"/>
    <w:basedOn w:val="DefaultParagraphFont"/>
    <w:link w:val="NoSpacing"/>
    <w:uiPriority w:val="1"/>
    <w:rsid w:val="006537FE"/>
    <w:rPr>
      <w:rFonts w:ascii="Calibri" w:hAnsi="Calibri" w:cs="Calibri"/>
      <w:lang w:eastAsia="en-US"/>
    </w:rPr>
  </w:style>
  <w:style w:type="table" w:customStyle="1" w:styleId="RPCtable2015">
    <w:name w:val="RPC table 2015"/>
    <w:basedOn w:val="TableRPC2014"/>
    <w:uiPriority w:val="99"/>
    <w:rsid w:val="00B45C17"/>
    <w:rPr>
      <w:rFonts w:ascii="Calibri" w:hAnsi="Calibri"/>
      <w:lang w:eastAsia="en-GB"/>
    </w:rPr>
    <w:tblPr/>
    <w:tblStylePr w:type="firstRow">
      <w:pPr>
        <w:jc w:val="center"/>
      </w:pPr>
      <w:rPr>
        <w:b/>
      </w:rPr>
      <w:tblPr/>
      <w:tcPr>
        <w:tcBorders>
          <w:top w:val="outset" w:sz="6" w:space="0" w:color="auto"/>
          <w:bottom w:val="outset" w:sz="6" w:space="0" w:color="auto"/>
        </w:tcBorders>
        <w:shd w:val="clear" w:color="auto" w:fill="FF6600"/>
      </w:tcPr>
    </w:tblStylePr>
    <w:tblStylePr w:type="lastRow">
      <w:rPr>
        <w:rFonts w:ascii="Times New Roman" w:hAnsi="Times New Roman"/>
        <w:b/>
        <w:sz w:val="20"/>
      </w:rPr>
      <w:tblPr/>
      <w:tcPr>
        <w:tcBorders>
          <w:top w:val="single" w:sz="4" w:space="0" w:color="auto"/>
          <w:bottom w:val="single" w:sz="4" w:space="0" w:color="auto"/>
        </w:tcBorders>
      </w:tcPr>
    </w:tblStylePr>
    <w:tblStylePr w:type="firstCol">
      <w:pPr>
        <w:jc w:val="left"/>
      </w:pPr>
    </w:tblStylePr>
  </w:style>
  <w:style w:type="paragraph" w:styleId="TOCHeading">
    <w:name w:val="TOC Heading"/>
    <w:basedOn w:val="Normal"/>
    <w:next w:val="Normal"/>
    <w:uiPriority w:val="99"/>
    <w:qFormat/>
    <w:rsid w:val="00785BDF"/>
    <w:pPr>
      <w:spacing w:before="300" w:after="40" w:line="276" w:lineRule="auto"/>
    </w:pPr>
    <w:rPr>
      <w:rFonts w:ascii="Arial" w:eastAsia="Calibri" w:hAnsi="Arial" w:cs="Calibri"/>
      <w:b/>
      <w:color w:val="31849B" w:themeColor="accent5" w:themeShade="BF"/>
      <w:sz w:val="36"/>
      <w:szCs w:val="20"/>
      <w:lang w:eastAsia="en-US"/>
    </w:rPr>
  </w:style>
  <w:style w:type="paragraph" w:customStyle="1" w:styleId="BulletsRPC">
    <w:name w:val="Bullets RPC"/>
    <w:basedOn w:val="BodytextRPC"/>
    <w:link w:val="BulletsRPCChar1"/>
    <w:qFormat/>
    <w:rsid w:val="003C7B8D"/>
    <w:pPr>
      <w:numPr>
        <w:numId w:val="5"/>
      </w:numPr>
      <w:spacing w:after="100"/>
    </w:pPr>
  </w:style>
  <w:style w:type="character" w:customStyle="1" w:styleId="BulletsRPCChar1">
    <w:name w:val="Bullets RPC Char1"/>
    <w:basedOn w:val="BodytextRPCChar"/>
    <w:link w:val="BulletsRPC"/>
    <w:rsid w:val="003C7B8D"/>
    <w:rPr>
      <w:rFonts w:ascii="Calibri" w:hAnsi="Calibri" w:cs="Calibri"/>
      <w:sz w:val="22"/>
      <w:lang w:eastAsia="en-US"/>
    </w:rPr>
  </w:style>
  <w:style w:type="paragraph" w:customStyle="1" w:styleId="IndentedquoteRPC">
    <w:name w:val="Indented quote RPC"/>
    <w:basedOn w:val="Normal"/>
    <w:next w:val="BodytextRPC"/>
    <w:uiPriority w:val="99"/>
    <w:qFormat/>
    <w:rsid w:val="007A7116"/>
    <w:pPr>
      <w:spacing w:after="200" w:line="276" w:lineRule="auto"/>
      <w:ind w:left="357" w:right="357"/>
    </w:pPr>
    <w:rPr>
      <w:rFonts w:ascii="Calibri" w:eastAsia="Calibri" w:hAnsi="Calibri" w:cs="Calibri"/>
      <w:sz w:val="20"/>
      <w:szCs w:val="20"/>
      <w:lang w:eastAsia="en-US"/>
    </w:rPr>
  </w:style>
  <w:style w:type="paragraph" w:customStyle="1" w:styleId="Headeroddpage">
    <w:name w:val="Header odd page"/>
    <w:basedOn w:val="Normal"/>
    <w:link w:val="HeaderoddpageChar"/>
    <w:uiPriority w:val="99"/>
    <w:qFormat/>
    <w:rsid w:val="0080508A"/>
    <w:pPr>
      <w:pBdr>
        <w:bottom w:val="single" w:sz="4" w:space="1" w:color="auto"/>
      </w:pBdr>
      <w:tabs>
        <w:tab w:val="center" w:pos="3969"/>
        <w:tab w:val="right" w:pos="7938"/>
      </w:tabs>
      <w:jc w:val="right"/>
    </w:pPr>
    <w:rPr>
      <w:rFonts w:ascii="Calibri" w:eastAsia="Calibri" w:hAnsi="Calibri" w:cs="Calibri"/>
      <w:sz w:val="20"/>
      <w:szCs w:val="20"/>
      <w:lang w:eastAsia="en-US"/>
    </w:rPr>
  </w:style>
  <w:style w:type="character" w:customStyle="1" w:styleId="HeaderoddpageChar">
    <w:name w:val="Header odd page Char"/>
    <w:basedOn w:val="DefaultParagraphFont"/>
    <w:link w:val="Headeroddpage"/>
    <w:uiPriority w:val="99"/>
    <w:rsid w:val="0080508A"/>
    <w:rPr>
      <w:rFonts w:ascii="Calibri" w:hAnsi="Calibri" w:cs="Calibri"/>
      <w:lang w:eastAsia="en-US"/>
    </w:rPr>
  </w:style>
  <w:style w:type="paragraph" w:customStyle="1" w:styleId="Headerevenpage">
    <w:name w:val="Header even page"/>
    <w:basedOn w:val="Normal"/>
    <w:link w:val="HeaderevenpageChar"/>
    <w:uiPriority w:val="99"/>
    <w:qFormat/>
    <w:rsid w:val="0080508A"/>
    <w:pPr>
      <w:pBdr>
        <w:bottom w:val="single" w:sz="4" w:space="1" w:color="auto"/>
      </w:pBdr>
      <w:tabs>
        <w:tab w:val="center" w:pos="3969"/>
        <w:tab w:val="right" w:pos="7938"/>
      </w:tabs>
    </w:pPr>
    <w:rPr>
      <w:rFonts w:ascii="Calibri" w:eastAsia="Calibri" w:hAnsi="Calibri" w:cs="Calibri"/>
      <w:sz w:val="20"/>
      <w:szCs w:val="20"/>
      <w:lang w:eastAsia="en-US"/>
    </w:rPr>
  </w:style>
  <w:style w:type="character" w:customStyle="1" w:styleId="HeaderevenpageChar">
    <w:name w:val="Header even page Char"/>
    <w:basedOn w:val="DefaultParagraphFont"/>
    <w:link w:val="Headerevenpage"/>
    <w:uiPriority w:val="99"/>
    <w:rsid w:val="0080508A"/>
    <w:rPr>
      <w:rFonts w:ascii="Calibri" w:hAnsi="Calibri" w:cs="Calibri"/>
      <w:lang w:eastAsia="en-US"/>
    </w:rPr>
  </w:style>
  <w:style w:type="table" w:styleId="TableGrid">
    <w:name w:val="Table Grid"/>
    <w:basedOn w:val="TableNormal"/>
    <w:uiPriority w:val="59"/>
    <w:rsid w:val="006537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numberedRPC">
    <w:name w:val="List numbered RPC"/>
    <w:basedOn w:val="BodytextRPC"/>
    <w:link w:val="ListnumberedRPCChar"/>
    <w:qFormat/>
    <w:rsid w:val="00FC5CC4"/>
    <w:pPr>
      <w:numPr>
        <w:numId w:val="2"/>
      </w:numPr>
      <w:contextualSpacing/>
    </w:pPr>
  </w:style>
  <w:style w:type="character" w:customStyle="1" w:styleId="ListnumberedRPCChar">
    <w:name w:val="List numbered RPC Char"/>
    <w:basedOn w:val="BodytextRPCChar"/>
    <w:link w:val="ListnumberedRPC"/>
    <w:rsid w:val="00FC5CC4"/>
    <w:rPr>
      <w:rFonts w:ascii="Calibri" w:hAnsi="Calibri" w:cs="Calibri"/>
      <w:sz w:val="22"/>
      <w:lang w:eastAsia="en-US"/>
    </w:rPr>
  </w:style>
  <w:style w:type="paragraph" w:customStyle="1" w:styleId="Footerevenpage">
    <w:name w:val="Footer even page"/>
    <w:basedOn w:val="Normal"/>
    <w:uiPriority w:val="99"/>
    <w:qFormat/>
    <w:rsid w:val="0033625B"/>
    <w:pPr>
      <w:tabs>
        <w:tab w:val="center" w:pos="3969"/>
        <w:tab w:val="right" w:pos="7938"/>
      </w:tabs>
    </w:pPr>
    <w:rPr>
      <w:rFonts w:ascii="Calibri" w:eastAsia="Calibri" w:hAnsi="Calibri" w:cs="Calibri"/>
      <w:sz w:val="20"/>
      <w:szCs w:val="20"/>
      <w:lang w:eastAsia="en-US"/>
    </w:rPr>
  </w:style>
  <w:style w:type="paragraph" w:customStyle="1" w:styleId="Footeroddpage">
    <w:name w:val="Footer odd page"/>
    <w:basedOn w:val="Normal"/>
    <w:uiPriority w:val="99"/>
    <w:qFormat/>
    <w:rsid w:val="0033625B"/>
    <w:pPr>
      <w:tabs>
        <w:tab w:val="center" w:pos="3969"/>
        <w:tab w:val="right" w:pos="7938"/>
      </w:tabs>
      <w:jc w:val="right"/>
    </w:pPr>
    <w:rPr>
      <w:rFonts w:ascii="Calibri" w:eastAsia="Calibri" w:hAnsi="Calibri" w:cs="Calibri"/>
      <w:sz w:val="20"/>
      <w:szCs w:val="20"/>
      <w:lang w:eastAsia="en-US"/>
    </w:rPr>
  </w:style>
  <w:style w:type="paragraph" w:customStyle="1" w:styleId="Headerfirstpage">
    <w:name w:val="Header first page"/>
    <w:basedOn w:val="Normal"/>
    <w:uiPriority w:val="99"/>
    <w:qFormat/>
    <w:rsid w:val="0080508A"/>
    <w:pPr>
      <w:tabs>
        <w:tab w:val="center" w:pos="3969"/>
        <w:tab w:val="right" w:pos="7938"/>
      </w:tabs>
      <w:jc w:val="both"/>
    </w:pPr>
    <w:rPr>
      <w:rFonts w:ascii="Calibri" w:eastAsia="Calibri" w:hAnsi="Calibri" w:cs="Calibri"/>
      <w:sz w:val="20"/>
      <w:szCs w:val="20"/>
      <w:lang w:eastAsia="en-US"/>
    </w:rPr>
  </w:style>
  <w:style w:type="paragraph" w:styleId="TOC1">
    <w:name w:val="toc 1"/>
    <w:basedOn w:val="Normal"/>
    <w:next w:val="Normal"/>
    <w:uiPriority w:val="39"/>
    <w:rsid w:val="00C40F53"/>
    <w:pPr>
      <w:spacing w:before="120" w:line="276" w:lineRule="auto"/>
    </w:pPr>
    <w:rPr>
      <w:rFonts w:asciiTheme="minorHAnsi" w:eastAsia="Calibri" w:hAnsiTheme="minorHAnsi" w:cstheme="minorHAnsi"/>
      <w:b/>
      <w:bCs/>
      <w:i/>
      <w:iCs/>
      <w:lang w:eastAsia="en-US"/>
    </w:rPr>
  </w:style>
  <w:style w:type="paragraph" w:styleId="TOC2">
    <w:name w:val="toc 2"/>
    <w:basedOn w:val="Normal"/>
    <w:next w:val="Normal"/>
    <w:uiPriority w:val="39"/>
    <w:rsid w:val="00C40F53"/>
    <w:pPr>
      <w:spacing w:before="120" w:line="276" w:lineRule="auto"/>
      <w:ind w:left="200"/>
    </w:pPr>
    <w:rPr>
      <w:rFonts w:asciiTheme="minorHAnsi" w:eastAsia="Calibri" w:hAnsiTheme="minorHAnsi" w:cstheme="minorHAnsi"/>
      <w:b/>
      <w:bCs/>
      <w:sz w:val="22"/>
      <w:szCs w:val="22"/>
      <w:lang w:eastAsia="en-US"/>
    </w:rPr>
  </w:style>
  <w:style w:type="paragraph" w:styleId="TOC3">
    <w:name w:val="toc 3"/>
    <w:basedOn w:val="Normal"/>
    <w:next w:val="Normal"/>
    <w:uiPriority w:val="39"/>
    <w:unhideWhenUsed/>
    <w:rsid w:val="006537FE"/>
    <w:pPr>
      <w:spacing w:line="276" w:lineRule="auto"/>
      <w:ind w:left="400"/>
    </w:pPr>
    <w:rPr>
      <w:rFonts w:asciiTheme="minorHAnsi" w:eastAsia="Calibri" w:hAnsiTheme="minorHAnsi" w:cstheme="minorHAnsi"/>
      <w:sz w:val="20"/>
      <w:szCs w:val="20"/>
      <w:lang w:eastAsia="en-US"/>
    </w:rPr>
  </w:style>
  <w:style w:type="paragraph" w:styleId="TOC4">
    <w:name w:val="toc 4"/>
    <w:basedOn w:val="Normal"/>
    <w:next w:val="Normal"/>
    <w:autoRedefine/>
    <w:uiPriority w:val="99"/>
    <w:unhideWhenUsed/>
    <w:rsid w:val="006537FE"/>
    <w:pPr>
      <w:spacing w:line="276" w:lineRule="auto"/>
      <w:ind w:left="600"/>
    </w:pPr>
    <w:rPr>
      <w:rFonts w:asciiTheme="minorHAnsi" w:eastAsia="Calibri" w:hAnsiTheme="minorHAnsi" w:cstheme="minorHAnsi"/>
      <w:sz w:val="20"/>
      <w:szCs w:val="20"/>
      <w:lang w:eastAsia="en-US"/>
    </w:rPr>
  </w:style>
  <w:style w:type="paragraph" w:styleId="TOC5">
    <w:name w:val="toc 5"/>
    <w:basedOn w:val="Normal"/>
    <w:next w:val="Normal"/>
    <w:autoRedefine/>
    <w:uiPriority w:val="99"/>
    <w:unhideWhenUsed/>
    <w:rsid w:val="006537FE"/>
    <w:pPr>
      <w:spacing w:line="276" w:lineRule="auto"/>
      <w:ind w:left="800"/>
    </w:pPr>
    <w:rPr>
      <w:rFonts w:asciiTheme="minorHAnsi" w:eastAsia="Calibri" w:hAnsiTheme="minorHAnsi" w:cstheme="minorHAnsi"/>
      <w:sz w:val="20"/>
      <w:szCs w:val="20"/>
      <w:lang w:eastAsia="en-US"/>
    </w:rPr>
  </w:style>
  <w:style w:type="paragraph" w:styleId="TOC6">
    <w:name w:val="toc 6"/>
    <w:basedOn w:val="Normal"/>
    <w:next w:val="Normal"/>
    <w:autoRedefine/>
    <w:uiPriority w:val="99"/>
    <w:unhideWhenUsed/>
    <w:rsid w:val="006537FE"/>
    <w:pPr>
      <w:spacing w:line="276" w:lineRule="auto"/>
      <w:ind w:left="1000"/>
    </w:pPr>
    <w:rPr>
      <w:rFonts w:asciiTheme="minorHAnsi" w:eastAsia="Calibri" w:hAnsiTheme="minorHAnsi" w:cstheme="minorHAnsi"/>
      <w:sz w:val="20"/>
      <w:szCs w:val="20"/>
      <w:lang w:eastAsia="en-US"/>
    </w:rPr>
  </w:style>
  <w:style w:type="paragraph" w:styleId="TOC7">
    <w:name w:val="toc 7"/>
    <w:basedOn w:val="Normal"/>
    <w:next w:val="Normal"/>
    <w:autoRedefine/>
    <w:uiPriority w:val="99"/>
    <w:unhideWhenUsed/>
    <w:rsid w:val="006537FE"/>
    <w:pPr>
      <w:spacing w:line="276" w:lineRule="auto"/>
      <w:ind w:left="1200"/>
    </w:pPr>
    <w:rPr>
      <w:rFonts w:asciiTheme="minorHAnsi" w:eastAsia="Calibri" w:hAnsiTheme="minorHAnsi" w:cstheme="minorHAnsi"/>
      <w:sz w:val="20"/>
      <w:szCs w:val="20"/>
      <w:lang w:eastAsia="en-US"/>
    </w:rPr>
  </w:style>
  <w:style w:type="paragraph" w:styleId="TOC8">
    <w:name w:val="toc 8"/>
    <w:basedOn w:val="Normal"/>
    <w:next w:val="Normal"/>
    <w:autoRedefine/>
    <w:uiPriority w:val="99"/>
    <w:unhideWhenUsed/>
    <w:rsid w:val="006537FE"/>
    <w:pPr>
      <w:spacing w:line="276" w:lineRule="auto"/>
      <w:ind w:left="1400"/>
    </w:pPr>
    <w:rPr>
      <w:rFonts w:asciiTheme="minorHAnsi" w:eastAsia="Calibri" w:hAnsiTheme="minorHAnsi" w:cstheme="minorHAnsi"/>
      <w:sz w:val="20"/>
      <w:szCs w:val="20"/>
      <w:lang w:eastAsia="en-US"/>
    </w:rPr>
  </w:style>
  <w:style w:type="paragraph" w:styleId="TOC9">
    <w:name w:val="toc 9"/>
    <w:basedOn w:val="Normal"/>
    <w:next w:val="Normal"/>
    <w:autoRedefine/>
    <w:uiPriority w:val="99"/>
    <w:unhideWhenUsed/>
    <w:rsid w:val="006537FE"/>
    <w:pPr>
      <w:spacing w:line="276" w:lineRule="auto"/>
      <w:ind w:left="1600"/>
    </w:pPr>
    <w:rPr>
      <w:rFonts w:asciiTheme="minorHAnsi" w:eastAsia="Calibri" w:hAnsiTheme="minorHAnsi" w:cstheme="minorHAnsi"/>
      <w:sz w:val="20"/>
      <w:szCs w:val="20"/>
      <w:lang w:eastAsia="en-US"/>
    </w:rPr>
  </w:style>
  <w:style w:type="paragraph" w:customStyle="1" w:styleId="Author">
    <w:name w:val="Author"/>
    <w:basedOn w:val="Normal"/>
    <w:next w:val="BodytextRPC"/>
    <w:uiPriority w:val="99"/>
    <w:qFormat/>
    <w:rsid w:val="006537FE"/>
    <w:pPr>
      <w:spacing w:after="200" w:line="276" w:lineRule="auto"/>
      <w:ind w:left="-567"/>
    </w:pPr>
    <w:rPr>
      <w:rFonts w:ascii="Arial" w:eastAsia="Calibri" w:hAnsi="Arial" w:cs="Arial"/>
      <w:sz w:val="32"/>
      <w:szCs w:val="32"/>
      <w:lang w:eastAsia="en-US"/>
    </w:rPr>
  </w:style>
  <w:style w:type="paragraph" w:customStyle="1" w:styleId="Publicationdate">
    <w:name w:val="Publication date"/>
    <w:basedOn w:val="Normal"/>
    <w:next w:val="BodytextRPC"/>
    <w:uiPriority w:val="99"/>
    <w:rsid w:val="006537FE"/>
    <w:pPr>
      <w:spacing w:after="200" w:line="276" w:lineRule="auto"/>
      <w:ind w:left="-567"/>
    </w:pPr>
    <w:rPr>
      <w:rFonts w:ascii="Arial" w:eastAsia="Calibri" w:hAnsi="Arial" w:cs="Arial"/>
      <w:sz w:val="28"/>
      <w:szCs w:val="28"/>
      <w:lang w:eastAsia="en-US"/>
    </w:rPr>
  </w:style>
  <w:style w:type="paragraph" w:customStyle="1" w:styleId="BulletsRPC2">
    <w:name w:val="Bullets RPC 2"/>
    <w:basedOn w:val="BodytextRPC"/>
    <w:link w:val="BulletsRPC2Char"/>
    <w:uiPriority w:val="99"/>
    <w:qFormat/>
    <w:rsid w:val="00F81776"/>
    <w:pPr>
      <w:numPr>
        <w:numId w:val="1"/>
      </w:numPr>
      <w:spacing w:after="100"/>
      <w:ind w:left="714" w:hanging="357"/>
    </w:pPr>
  </w:style>
  <w:style w:type="character" w:customStyle="1" w:styleId="BulletsRPC2Char">
    <w:name w:val="Bullets RPC 2 Char"/>
    <w:basedOn w:val="BulletsRPCChar1"/>
    <w:link w:val="BulletsRPC2"/>
    <w:uiPriority w:val="99"/>
    <w:rsid w:val="004B2C90"/>
    <w:rPr>
      <w:rFonts w:ascii="Calibri" w:hAnsi="Calibri" w:cs="Calibri"/>
      <w:sz w:val="22"/>
      <w:lang w:eastAsia="en-US"/>
    </w:rPr>
  </w:style>
  <w:style w:type="paragraph" w:customStyle="1" w:styleId="ReferenceRPC">
    <w:name w:val="Reference RPC"/>
    <w:basedOn w:val="Normal"/>
    <w:uiPriority w:val="99"/>
    <w:qFormat/>
    <w:rsid w:val="00044DA2"/>
    <w:pPr>
      <w:spacing w:after="100" w:line="276" w:lineRule="auto"/>
    </w:pPr>
    <w:rPr>
      <w:rFonts w:ascii="Calibri" w:eastAsia="Calibri" w:hAnsi="Calibri" w:cs="Calibri"/>
      <w:sz w:val="20"/>
      <w:szCs w:val="20"/>
      <w:lang w:eastAsia="en-US"/>
    </w:rPr>
  </w:style>
  <w:style w:type="character" w:customStyle="1" w:styleId="ReferenceitalicsRPC">
    <w:name w:val="Reference italics RPC"/>
    <w:basedOn w:val="DefaultParagraphFont"/>
    <w:uiPriority w:val="99"/>
    <w:qFormat/>
    <w:rsid w:val="00104B42"/>
    <w:rPr>
      <w:rFonts w:ascii="Calibri" w:hAnsi="Calibri"/>
      <w:i/>
      <w:sz w:val="20"/>
      <w:lang w:val="en-AU"/>
    </w:rPr>
  </w:style>
  <w:style w:type="paragraph" w:customStyle="1" w:styleId="Imprintpage">
    <w:name w:val="Imprint page"/>
    <w:basedOn w:val="BodytextRPC"/>
    <w:link w:val="ImprintpageChar"/>
    <w:qFormat/>
    <w:rsid w:val="0037437D"/>
    <w:rPr>
      <w:sz w:val="20"/>
    </w:rPr>
  </w:style>
  <w:style w:type="character" w:customStyle="1" w:styleId="ImprintpageChar">
    <w:name w:val="Imprint page Char"/>
    <w:basedOn w:val="BodytextRPCChar"/>
    <w:link w:val="Imprintpage"/>
    <w:rsid w:val="0037437D"/>
    <w:rPr>
      <w:rFonts w:ascii="Calibri" w:hAnsi="Calibri" w:cs="Calibri"/>
      <w:sz w:val="22"/>
      <w:lang w:eastAsia="en-US"/>
    </w:rPr>
  </w:style>
  <w:style w:type="paragraph" w:customStyle="1" w:styleId="BulletRPClast">
    <w:name w:val="Bullet RPC last"/>
    <w:basedOn w:val="BulletsRPC"/>
    <w:link w:val="BulletRPClastChar"/>
    <w:qFormat/>
    <w:rsid w:val="003C7B8D"/>
    <w:pPr>
      <w:numPr>
        <w:numId w:val="6"/>
      </w:numPr>
      <w:spacing w:after="200"/>
    </w:pPr>
  </w:style>
  <w:style w:type="character" w:customStyle="1" w:styleId="BulletRPClastChar">
    <w:name w:val="Bullet RPC last Char"/>
    <w:basedOn w:val="BulletsRPCChar1"/>
    <w:link w:val="BulletRPClast"/>
    <w:rsid w:val="003C7B8D"/>
    <w:rPr>
      <w:rFonts w:ascii="Calibri" w:hAnsi="Calibri" w:cs="Calibri"/>
      <w:sz w:val="22"/>
      <w:lang w:eastAsia="en-US"/>
    </w:rPr>
  </w:style>
  <w:style w:type="paragraph" w:customStyle="1" w:styleId="BodytextRPCbeforebullets">
    <w:name w:val="Body text RPC before bullets"/>
    <w:basedOn w:val="BodytextRPC"/>
    <w:link w:val="BodytextRPCbeforebulletsChar"/>
    <w:uiPriority w:val="99"/>
    <w:qFormat/>
    <w:rsid w:val="006537FE"/>
    <w:pPr>
      <w:spacing w:after="100"/>
    </w:pPr>
  </w:style>
  <w:style w:type="character" w:customStyle="1" w:styleId="BodytextRPCbeforebulletsChar">
    <w:name w:val="Body text RPC before bullets Char"/>
    <w:basedOn w:val="BodytextRPCChar"/>
    <w:link w:val="BodytextRPCbeforebullets"/>
    <w:uiPriority w:val="99"/>
    <w:rsid w:val="006537FE"/>
    <w:rPr>
      <w:rFonts w:ascii="Calibri" w:hAnsi="Calibri" w:cs="Calibri"/>
      <w:sz w:val="22"/>
      <w:lang w:eastAsia="en-US"/>
    </w:rPr>
  </w:style>
  <w:style w:type="paragraph" w:customStyle="1" w:styleId="TabletextRPC">
    <w:name w:val="Table text RPC"/>
    <w:basedOn w:val="BodytextRPC"/>
    <w:link w:val="TabletextRPCChar"/>
    <w:uiPriority w:val="99"/>
    <w:qFormat/>
    <w:rsid w:val="00843CA8"/>
    <w:pPr>
      <w:keepNext/>
      <w:spacing w:before="100" w:after="100"/>
    </w:pPr>
    <w:rPr>
      <w:sz w:val="20"/>
    </w:rPr>
  </w:style>
  <w:style w:type="character" w:customStyle="1" w:styleId="TabletextRPCChar">
    <w:name w:val="Table text RPC Char"/>
    <w:basedOn w:val="BodytextRPCChar"/>
    <w:link w:val="TabletextRPC"/>
    <w:uiPriority w:val="99"/>
    <w:rsid w:val="00843CA8"/>
    <w:rPr>
      <w:rFonts w:ascii="Calibri" w:hAnsi="Calibri" w:cs="Calibri"/>
      <w:sz w:val="22"/>
      <w:lang w:eastAsia="en-US"/>
    </w:rPr>
  </w:style>
  <w:style w:type="paragraph" w:customStyle="1" w:styleId="TableheaderrowtextRPC">
    <w:name w:val="Table header row text RPC"/>
    <w:basedOn w:val="Normal"/>
    <w:link w:val="TableheaderrowtextRPCChar"/>
    <w:uiPriority w:val="99"/>
    <w:qFormat/>
    <w:rsid w:val="00843CA8"/>
    <w:pPr>
      <w:keepNext/>
      <w:spacing w:before="100" w:after="100" w:line="276" w:lineRule="auto"/>
    </w:pPr>
    <w:rPr>
      <w:rFonts w:ascii="Calibri" w:eastAsia="Calibri" w:hAnsi="Calibri" w:cs="Calibri"/>
      <w:b/>
      <w:sz w:val="20"/>
      <w:szCs w:val="20"/>
      <w:lang w:eastAsia="en-US"/>
    </w:rPr>
  </w:style>
  <w:style w:type="character" w:customStyle="1" w:styleId="TableheaderrowtextRPCChar">
    <w:name w:val="Table header row text RPC Char"/>
    <w:basedOn w:val="BodytextRPCChar"/>
    <w:link w:val="TableheaderrowtextRPC"/>
    <w:uiPriority w:val="99"/>
    <w:rsid w:val="00843CA8"/>
    <w:rPr>
      <w:rFonts w:ascii="Calibri" w:hAnsi="Calibri" w:cs="Calibri"/>
      <w:b/>
      <w:sz w:val="22"/>
      <w:lang w:eastAsia="en-US"/>
    </w:rPr>
  </w:style>
  <w:style w:type="character" w:styleId="Hyperlink">
    <w:name w:val="Hyperlink"/>
    <w:aliases w:val="Hyperlink RPC"/>
    <w:basedOn w:val="DefaultParagraphFont"/>
    <w:uiPriority w:val="99"/>
    <w:qFormat/>
    <w:rsid w:val="00F81776"/>
    <w:rPr>
      <w:rFonts w:ascii="Calibri" w:hAnsi="Calibri"/>
      <w:color w:val="0000FF"/>
      <w:u w:val="none"/>
    </w:rPr>
  </w:style>
  <w:style w:type="paragraph" w:customStyle="1" w:styleId="SourceRPC">
    <w:name w:val="Source RPC"/>
    <w:basedOn w:val="BodytextRPC"/>
    <w:next w:val="BodytextRPC"/>
    <w:uiPriority w:val="99"/>
    <w:qFormat/>
    <w:rsid w:val="00843CA8"/>
    <w:rPr>
      <w:sz w:val="20"/>
    </w:rPr>
  </w:style>
  <w:style w:type="paragraph" w:styleId="Header">
    <w:name w:val="header"/>
    <w:basedOn w:val="Normal"/>
    <w:link w:val="HeaderChar"/>
    <w:uiPriority w:val="99"/>
    <w:unhideWhenUsed/>
    <w:rsid w:val="006537FE"/>
    <w:pPr>
      <w:tabs>
        <w:tab w:val="center" w:pos="4513"/>
        <w:tab w:val="right" w:pos="9026"/>
      </w:tabs>
      <w:spacing w:after="200" w:line="276" w:lineRule="auto"/>
      <w:jc w:val="both"/>
    </w:pPr>
    <w:rPr>
      <w:rFonts w:ascii="Calibri" w:eastAsia="Calibri" w:hAnsi="Calibri" w:cs="Calibri"/>
      <w:sz w:val="20"/>
      <w:szCs w:val="20"/>
      <w:lang w:eastAsia="en-US"/>
    </w:rPr>
  </w:style>
  <w:style w:type="character" w:customStyle="1" w:styleId="HeaderChar">
    <w:name w:val="Header Char"/>
    <w:basedOn w:val="DefaultParagraphFont"/>
    <w:link w:val="Header"/>
    <w:uiPriority w:val="99"/>
    <w:rsid w:val="006537FE"/>
    <w:rPr>
      <w:rFonts w:ascii="Calibri" w:hAnsi="Calibri" w:cs="Calibri"/>
      <w:lang w:eastAsia="en-US"/>
    </w:rPr>
  </w:style>
  <w:style w:type="table" w:customStyle="1" w:styleId="TableRPC2014">
    <w:name w:val="Table RPC 2014"/>
    <w:basedOn w:val="TableNormal"/>
    <w:uiPriority w:val="99"/>
    <w:qFormat/>
    <w:rsid w:val="005569CB"/>
    <w:pPr>
      <w:jc w:val="right"/>
    </w:pPr>
    <w:tblPr>
      <w:tblInd w:w="108" w:type="dxa"/>
    </w:tblPr>
    <w:tblStylePr w:type="firstRow">
      <w:pPr>
        <w:jc w:val="center"/>
      </w:pPr>
      <w:tblPr/>
      <w:tcPr>
        <w:tcBorders>
          <w:top w:val="single" w:sz="4" w:space="0" w:color="auto"/>
          <w:bottom w:val="single" w:sz="4" w:space="0" w:color="auto"/>
        </w:tcBorders>
      </w:tcPr>
    </w:tblStylePr>
    <w:tblStylePr w:type="lastRow">
      <w:rPr>
        <w:rFonts w:ascii="Times New Roman" w:hAnsi="Times New Roman"/>
        <w:b/>
        <w:sz w:val="20"/>
      </w:rPr>
      <w:tblPr/>
      <w:tcPr>
        <w:tcBorders>
          <w:top w:val="single" w:sz="4" w:space="0" w:color="auto"/>
          <w:bottom w:val="single" w:sz="4" w:space="0" w:color="auto"/>
        </w:tcBorders>
      </w:tcPr>
    </w:tblStylePr>
    <w:tblStylePr w:type="firstCol">
      <w:pPr>
        <w:jc w:val="left"/>
      </w:pPr>
    </w:tblStylePr>
  </w:style>
  <w:style w:type="paragraph" w:styleId="FootnoteText">
    <w:name w:val="footnote text"/>
    <w:aliases w:val="Footnote Text RPC,Footnote Text2,Footnote Text1,(NECG) Footnote Text,(NECG) Footnote Text1,ALTS FOOTNOTE,Footnote text,AR Footnote Text,AR Footnote Text Char Char Char Char Char,ALTS FOOTNOTE Char1,Footnote Text Char1 Char,fn,f"/>
    <w:basedOn w:val="Normal"/>
    <w:link w:val="FootnoteTextChar"/>
    <w:uiPriority w:val="99"/>
    <w:qFormat/>
    <w:rsid w:val="003D7F1B"/>
    <w:rPr>
      <w:rFonts w:ascii="Calibri" w:hAnsi="Calibri" w:cs="Arial"/>
      <w:sz w:val="20"/>
      <w:szCs w:val="20"/>
      <w:lang w:eastAsia="en-US"/>
    </w:rPr>
  </w:style>
  <w:style w:type="character" w:customStyle="1" w:styleId="FootnoteTextChar">
    <w:name w:val="Footnote Text Char"/>
    <w:aliases w:val="Footnote Text RPC Char,Footnote Text2 Char,Footnote Text1 Char,(NECG) Footnote Text Char,(NECG) Footnote Text1 Char,ALTS FOOTNOTE Char,Footnote text Char,AR Footnote Text Char,AR Footnote Text Char Char Char Char Char Char,fn Char"/>
    <w:basedOn w:val="DefaultParagraphFont"/>
    <w:link w:val="FootnoteText"/>
    <w:uiPriority w:val="99"/>
    <w:rsid w:val="003D7F1B"/>
    <w:rPr>
      <w:rFonts w:ascii="Calibri" w:eastAsia="Times New Roman" w:hAnsi="Calibri" w:cs="Arial"/>
      <w:lang w:eastAsia="en-US"/>
    </w:rPr>
  </w:style>
  <w:style w:type="paragraph" w:styleId="CommentText">
    <w:name w:val="annotation text"/>
    <w:basedOn w:val="Normal"/>
    <w:link w:val="CommentTextChar"/>
    <w:uiPriority w:val="99"/>
    <w:rsid w:val="006537FE"/>
    <w:pPr>
      <w:spacing w:after="200" w:line="276" w:lineRule="auto"/>
      <w:jc w:val="both"/>
    </w:pPr>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6537FE"/>
    <w:rPr>
      <w:rFonts w:ascii="Calibri" w:hAnsi="Calibri" w:cs="Calibri"/>
      <w:lang w:eastAsia="en-US"/>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rsid w:val="00F81776"/>
    <w:rPr>
      <w:rFonts w:ascii="Calibri" w:hAnsi="Calibri"/>
      <w:vertAlign w:val="superscript"/>
    </w:rPr>
  </w:style>
  <w:style w:type="character" w:styleId="CommentReference">
    <w:name w:val="annotation reference"/>
    <w:basedOn w:val="DefaultParagraphFont"/>
    <w:uiPriority w:val="99"/>
    <w:semiHidden/>
    <w:rsid w:val="006537FE"/>
    <w:rPr>
      <w:sz w:val="16"/>
      <w:szCs w:val="16"/>
    </w:rPr>
  </w:style>
  <w:style w:type="paragraph" w:styleId="CommentSubject">
    <w:name w:val="annotation subject"/>
    <w:basedOn w:val="CommentText"/>
    <w:next w:val="CommentText"/>
    <w:link w:val="CommentSubjectChar"/>
    <w:uiPriority w:val="99"/>
    <w:semiHidden/>
    <w:rsid w:val="006537FE"/>
    <w:rPr>
      <w:b/>
      <w:bCs/>
    </w:rPr>
  </w:style>
  <w:style w:type="character" w:customStyle="1" w:styleId="CommentSubjectChar">
    <w:name w:val="Comment Subject Char"/>
    <w:basedOn w:val="CommentTextChar"/>
    <w:link w:val="CommentSubject"/>
    <w:uiPriority w:val="99"/>
    <w:semiHidden/>
    <w:rsid w:val="006537FE"/>
    <w:rPr>
      <w:rFonts w:ascii="Calibri" w:hAnsi="Calibri" w:cs="Calibri"/>
      <w:b/>
      <w:bCs/>
      <w:lang w:eastAsia="en-US"/>
    </w:rPr>
  </w:style>
  <w:style w:type="paragraph" w:styleId="BalloonText">
    <w:name w:val="Balloon Text"/>
    <w:basedOn w:val="Normal"/>
    <w:link w:val="BalloonTextChar"/>
    <w:uiPriority w:val="99"/>
    <w:semiHidden/>
    <w:rsid w:val="006537FE"/>
    <w:pPr>
      <w:jc w:val="both"/>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6537FE"/>
    <w:rPr>
      <w:rFonts w:ascii="Tahoma" w:hAnsi="Tahoma" w:cs="Tahoma"/>
      <w:sz w:val="16"/>
      <w:szCs w:val="16"/>
      <w:lang w:eastAsia="en-US"/>
    </w:rPr>
  </w:style>
  <w:style w:type="paragraph" w:styleId="Footer">
    <w:name w:val="footer"/>
    <w:basedOn w:val="Normal"/>
    <w:link w:val="FooterChar"/>
    <w:uiPriority w:val="99"/>
    <w:unhideWhenUsed/>
    <w:rsid w:val="006537FE"/>
    <w:pPr>
      <w:tabs>
        <w:tab w:val="center" w:pos="4513"/>
        <w:tab w:val="right" w:pos="9026"/>
      </w:tabs>
      <w:spacing w:after="200" w:line="276" w:lineRule="auto"/>
      <w:jc w:val="both"/>
    </w:pPr>
    <w:rPr>
      <w:rFonts w:ascii="Calibri" w:eastAsia="Calibri" w:hAnsi="Calibri" w:cs="Calibri"/>
      <w:sz w:val="20"/>
      <w:szCs w:val="20"/>
      <w:lang w:eastAsia="en-US"/>
    </w:rPr>
  </w:style>
  <w:style w:type="character" w:customStyle="1" w:styleId="FooterChar">
    <w:name w:val="Footer Char"/>
    <w:basedOn w:val="DefaultParagraphFont"/>
    <w:link w:val="Footer"/>
    <w:uiPriority w:val="99"/>
    <w:rsid w:val="006537FE"/>
    <w:rPr>
      <w:rFonts w:ascii="Calibri" w:hAnsi="Calibri" w:cs="Calibri"/>
      <w:lang w:eastAsia="en-US"/>
    </w:rPr>
  </w:style>
  <w:style w:type="numbering" w:customStyle="1" w:styleId="RPCheadingsteststyle">
    <w:name w:val="RPC headings test style"/>
    <w:uiPriority w:val="99"/>
    <w:rsid w:val="006537FE"/>
    <w:pPr>
      <w:numPr>
        <w:numId w:val="3"/>
      </w:numPr>
    </w:pPr>
  </w:style>
  <w:style w:type="numbering" w:customStyle="1" w:styleId="RPCheadingsliststyle">
    <w:name w:val="RPC headings list style"/>
    <w:uiPriority w:val="99"/>
    <w:rsid w:val="00CB6F89"/>
    <w:pPr>
      <w:numPr>
        <w:numId w:val="4"/>
      </w:numPr>
    </w:pPr>
  </w:style>
  <w:style w:type="paragraph" w:customStyle="1" w:styleId="RPChighlighttext">
    <w:name w:val="RPC highlight text"/>
    <w:basedOn w:val="BodytextRPC"/>
    <w:link w:val="RPChighlighttextChar"/>
    <w:qFormat/>
    <w:rsid w:val="00EE1CC9"/>
    <w:pPr>
      <w:spacing w:before="200"/>
      <w:jc w:val="center"/>
    </w:pPr>
    <w:rPr>
      <w:b/>
      <w:i/>
      <w:color w:val="FF6600"/>
    </w:rPr>
  </w:style>
  <w:style w:type="table" w:styleId="LightList-Accent6">
    <w:name w:val="Light List Accent 6"/>
    <w:basedOn w:val="TableNormal"/>
    <w:uiPriority w:val="61"/>
    <w:rsid w:val="00816E5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RPChighlighttextChar">
    <w:name w:val="RPC highlight text Char"/>
    <w:basedOn w:val="BodytextRPCChar"/>
    <w:link w:val="RPChighlighttext"/>
    <w:rsid w:val="00EE1CC9"/>
    <w:rPr>
      <w:rFonts w:ascii="Calibri" w:hAnsi="Calibri" w:cs="Calibri"/>
      <w:b/>
      <w:i/>
      <w:color w:val="FF6600"/>
      <w:sz w:val="22"/>
      <w:lang w:eastAsia="en-US"/>
    </w:rPr>
  </w:style>
  <w:style w:type="table" w:styleId="LightShading-Accent6">
    <w:name w:val="Light Shading Accent 6"/>
    <w:basedOn w:val="TableNormal"/>
    <w:uiPriority w:val="60"/>
    <w:rsid w:val="00816E5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Accent6">
    <w:name w:val="Medium Grid 1 Accent 6"/>
    <w:basedOn w:val="TableNormal"/>
    <w:uiPriority w:val="67"/>
    <w:rsid w:val="004A29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Calendar4">
    <w:name w:val="Calendar 4"/>
    <w:basedOn w:val="TableNormal"/>
    <w:uiPriority w:val="99"/>
    <w:qFormat/>
    <w:rsid w:val="00A43A23"/>
    <w:pPr>
      <w:snapToGrid w:val="0"/>
    </w:pPr>
    <w:rPr>
      <w:rFonts w:ascii="Calibri" w:eastAsia="Times New Roman" w:hAnsi="Calibri"/>
      <w:b/>
      <w:bCs/>
      <w:color w:val="D9D9D9"/>
      <w:sz w:val="16"/>
      <w:szCs w:val="16"/>
      <w:lang w:val="en-US" w:eastAsia="en-US" w:bidi="en-US"/>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table" w:customStyle="1" w:styleId="RPCtable2016">
    <w:name w:val="RPC table 2016"/>
    <w:basedOn w:val="TableNormal"/>
    <w:uiPriority w:val="99"/>
    <w:qFormat/>
    <w:rsid w:val="007C4719"/>
    <w:rPr>
      <w:rFonts w:ascii="Calibri" w:hAnsi="Calibri"/>
    </w:rPr>
    <w:tblPr>
      <w:tblBorders>
        <w:top w:val="single" w:sz="8" w:space="0" w:color="FDB267"/>
        <w:left w:val="single" w:sz="8" w:space="0" w:color="FDB267"/>
        <w:bottom w:val="single" w:sz="8" w:space="0" w:color="FDB267"/>
        <w:right w:val="single" w:sz="8" w:space="0" w:color="FDB267"/>
      </w:tblBorders>
    </w:tblPr>
    <w:tcPr>
      <w:shd w:val="clear" w:color="auto" w:fill="auto"/>
    </w:tcPr>
    <w:tblStylePr w:type="firstRow">
      <w:tblPr/>
      <w:tcPr>
        <w:shd w:val="clear" w:color="auto" w:fill="FDB267"/>
      </w:tcPr>
    </w:tblStylePr>
  </w:style>
  <w:style w:type="paragraph" w:styleId="ListParagraph">
    <w:name w:val="List Paragraph"/>
    <w:basedOn w:val="Normal"/>
    <w:uiPriority w:val="34"/>
    <w:qFormat/>
    <w:rsid w:val="00A1755A"/>
    <w:pPr>
      <w:spacing w:after="160" w:line="259" w:lineRule="auto"/>
      <w:ind w:left="720"/>
      <w:contextualSpacing/>
    </w:pPr>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A526F1"/>
    <w:rPr>
      <w:b/>
      <w:bCs/>
    </w:rPr>
  </w:style>
  <w:style w:type="paragraph" w:styleId="NormalWeb">
    <w:name w:val="Normal (Web)"/>
    <w:basedOn w:val="Normal"/>
    <w:uiPriority w:val="99"/>
    <w:unhideWhenUsed/>
    <w:rsid w:val="00340E75"/>
    <w:pPr>
      <w:spacing w:after="150"/>
    </w:pPr>
    <w:rPr>
      <w:lang w:eastAsia="en-AU"/>
    </w:rPr>
  </w:style>
  <w:style w:type="paragraph" w:customStyle="1" w:styleId="AERBullet1">
    <w:name w:val="AER Bullet 1"/>
    <w:basedOn w:val="Normal"/>
    <w:rsid w:val="00645996"/>
    <w:pPr>
      <w:numPr>
        <w:numId w:val="7"/>
      </w:numPr>
      <w:tabs>
        <w:tab w:val="clear" w:pos="360"/>
      </w:tabs>
      <w:spacing w:after="240" w:line="288" w:lineRule="auto"/>
      <w:ind w:left="426" w:hanging="426"/>
      <w:jc w:val="both"/>
    </w:pPr>
    <w:rPr>
      <w:rFonts w:ascii="Gautami" w:eastAsia="Calibri" w:hAnsi="Gautami"/>
      <w:sz w:val="20"/>
      <w:lang w:eastAsia="en-US"/>
    </w:rPr>
  </w:style>
  <w:style w:type="paragraph" w:customStyle="1" w:styleId="AERbodytext">
    <w:name w:val="AER body text"/>
    <w:link w:val="AERbodytextChar"/>
    <w:qFormat/>
    <w:rsid w:val="00645996"/>
    <w:pPr>
      <w:numPr>
        <w:numId w:val="9"/>
      </w:numPr>
      <w:spacing w:after="240" w:line="288" w:lineRule="auto"/>
      <w:jc w:val="both"/>
    </w:pPr>
    <w:rPr>
      <w:rFonts w:ascii="Gautami" w:eastAsia="Times New Roman" w:hAnsi="Gautami"/>
      <w:szCs w:val="24"/>
      <w:lang w:eastAsia="en-US"/>
    </w:rPr>
  </w:style>
  <w:style w:type="paragraph" w:customStyle="1" w:styleId="AERnumberedlistfirststyle">
    <w:name w:val="AER numbered list (first style)"/>
    <w:basedOn w:val="AERbodytext"/>
    <w:qFormat/>
    <w:rsid w:val="00645996"/>
    <w:pPr>
      <w:numPr>
        <w:ilvl w:val="1"/>
      </w:numPr>
      <w:tabs>
        <w:tab w:val="clear" w:pos="357"/>
        <w:tab w:val="num" w:pos="1800"/>
      </w:tabs>
      <w:spacing w:after="200"/>
      <w:ind w:left="1800" w:hanging="360"/>
    </w:pPr>
  </w:style>
  <w:style w:type="paragraph" w:customStyle="1" w:styleId="AERnumberedlistsecondstyle">
    <w:name w:val="AER numbered list (second style)"/>
    <w:basedOn w:val="AERnumberedlistfirststyle"/>
    <w:qFormat/>
    <w:rsid w:val="00645996"/>
    <w:pPr>
      <w:numPr>
        <w:ilvl w:val="2"/>
      </w:numPr>
      <w:tabs>
        <w:tab w:val="clear" w:pos="720"/>
        <w:tab w:val="num" w:pos="2520"/>
      </w:tabs>
      <w:ind w:left="2520" w:hanging="360"/>
    </w:pPr>
  </w:style>
  <w:style w:type="paragraph" w:customStyle="1" w:styleId="AERnumberedlistthirdstyle">
    <w:name w:val="AER numbered list (third style)"/>
    <w:basedOn w:val="AERnumberedlistsecondstyle"/>
    <w:qFormat/>
    <w:rsid w:val="00645996"/>
    <w:pPr>
      <w:numPr>
        <w:ilvl w:val="3"/>
      </w:numPr>
      <w:tabs>
        <w:tab w:val="clear" w:pos="1077"/>
        <w:tab w:val="num" w:pos="3240"/>
      </w:tabs>
      <w:ind w:left="3240" w:hanging="360"/>
    </w:pPr>
  </w:style>
  <w:style w:type="numbering" w:customStyle="1" w:styleId="AERnumberedlist">
    <w:name w:val="AER numbered list"/>
    <w:uiPriority w:val="99"/>
    <w:rsid w:val="00645996"/>
    <w:pPr>
      <w:numPr>
        <w:numId w:val="8"/>
      </w:numPr>
    </w:pPr>
  </w:style>
  <w:style w:type="paragraph" w:customStyle="1" w:styleId="AERnumberedlist2first">
    <w:name w:val="AER numbered list 2 first"/>
    <w:basedOn w:val="AERbodytext"/>
    <w:qFormat/>
    <w:rsid w:val="00645996"/>
    <w:pPr>
      <w:numPr>
        <w:ilvl w:val="4"/>
      </w:numPr>
      <w:tabs>
        <w:tab w:val="clear" w:pos="357"/>
        <w:tab w:val="num" w:pos="3960"/>
      </w:tabs>
      <w:ind w:left="3960" w:hanging="360"/>
    </w:pPr>
  </w:style>
  <w:style w:type="paragraph" w:customStyle="1" w:styleId="AERnumberedlist2second">
    <w:name w:val="AER numbered list 2 second"/>
    <w:basedOn w:val="AERnumberedlist2first"/>
    <w:qFormat/>
    <w:rsid w:val="00645996"/>
    <w:pPr>
      <w:numPr>
        <w:ilvl w:val="5"/>
      </w:numPr>
      <w:tabs>
        <w:tab w:val="clear" w:pos="720"/>
        <w:tab w:val="num" w:pos="4680"/>
      </w:tabs>
      <w:ind w:left="4680" w:hanging="360"/>
    </w:pPr>
  </w:style>
  <w:style w:type="paragraph" w:customStyle="1" w:styleId="AERnumberedlist2third">
    <w:name w:val="AER numbered list 2 third"/>
    <w:basedOn w:val="AERnumberedlist2second"/>
    <w:qFormat/>
    <w:rsid w:val="00645996"/>
    <w:pPr>
      <w:numPr>
        <w:ilvl w:val="6"/>
      </w:numPr>
      <w:tabs>
        <w:tab w:val="clear" w:pos="1077"/>
        <w:tab w:val="num" w:pos="5400"/>
      </w:tabs>
      <w:ind w:left="5400" w:hanging="360"/>
    </w:pPr>
  </w:style>
  <w:style w:type="character" w:customStyle="1" w:styleId="AERbodytextChar">
    <w:name w:val="AER body text Char"/>
    <w:basedOn w:val="DefaultParagraphFont"/>
    <w:link w:val="AERbodytext"/>
    <w:rsid w:val="00645996"/>
    <w:rPr>
      <w:rFonts w:ascii="Gautami" w:eastAsia="Times New Roman" w:hAnsi="Gautami"/>
      <w:szCs w:val="24"/>
      <w:lang w:eastAsia="en-US"/>
    </w:rPr>
  </w:style>
  <w:style w:type="paragraph" w:customStyle="1" w:styleId="Default">
    <w:name w:val="Default"/>
    <w:rsid w:val="0051348E"/>
    <w:pPr>
      <w:autoSpaceDE w:val="0"/>
      <w:autoSpaceDN w:val="0"/>
      <w:adjustRightInd w:val="0"/>
    </w:pPr>
    <w:rPr>
      <w:rFonts w:ascii="Arial" w:hAnsi="Arial" w:cs="Arial"/>
      <w:color w:val="000000"/>
      <w:sz w:val="24"/>
      <w:szCs w:val="24"/>
    </w:rPr>
  </w:style>
  <w:style w:type="character" w:customStyle="1" w:styleId="AERbody">
    <w:name w:val="AER body"/>
    <w:basedOn w:val="DefaultParagraphFont"/>
    <w:qFormat/>
    <w:rsid w:val="00631338"/>
    <w:rPr>
      <w:rFonts w:ascii="Gautami" w:hAnsi="Gautami"/>
      <w:color w:val="auto"/>
      <w:sz w:val="20"/>
    </w:rPr>
  </w:style>
  <w:style w:type="character" w:styleId="Emphasis">
    <w:name w:val="Emphasis"/>
    <w:basedOn w:val="DefaultParagraphFont"/>
    <w:uiPriority w:val="20"/>
    <w:qFormat/>
    <w:rsid w:val="00740611"/>
    <w:rPr>
      <w:i/>
      <w:iCs/>
    </w:rPr>
  </w:style>
  <w:style w:type="character" w:customStyle="1" w:styleId="acccdocument">
    <w:name w:val="accc_document"/>
    <w:basedOn w:val="DefaultParagraphFont"/>
    <w:rsid w:val="00740611"/>
  </w:style>
  <w:style w:type="character" w:customStyle="1" w:styleId="accc-document-title">
    <w:name w:val="accc-document-title"/>
    <w:basedOn w:val="DefaultParagraphFont"/>
    <w:rsid w:val="00740611"/>
  </w:style>
  <w:style w:type="paragraph" w:styleId="Revision">
    <w:name w:val="Revision"/>
    <w:hidden/>
    <w:uiPriority w:val="99"/>
    <w:semiHidden/>
    <w:rsid w:val="00257FAB"/>
    <w:rPr>
      <w:rFonts w:ascii="Calibri" w:hAnsi="Calibri" w:cs="Calibri"/>
      <w:lang w:eastAsia="en-US"/>
    </w:rPr>
  </w:style>
  <w:style w:type="paragraph" w:customStyle="1" w:styleId="TableFigureTitles">
    <w:name w:val="Table &amp; Figure Titles"/>
    <w:basedOn w:val="Normal"/>
    <w:rsid w:val="00D9041B"/>
    <w:pPr>
      <w:keepNext/>
      <w:keepLines/>
      <w:spacing w:before="360" w:after="240"/>
      <w:jc w:val="both"/>
    </w:pPr>
    <w:rPr>
      <w:rFonts w:ascii="Arial" w:hAnsi="Arial"/>
      <w:b/>
      <w:sz w:val="22"/>
      <w:lang w:eastAsia="en-AU"/>
    </w:rPr>
  </w:style>
  <w:style w:type="paragraph" w:customStyle="1" w:styleId="TableHeading">
    <w:name w:val="Table Heading"/>
    <w:link w:val="TableHeadingChar"/>
    <w:rsid w:val="00D9041B"/>
    <w:pPr>
      <w:keepNext/>
      <w:keepLines/>
      <w:spacing w:before="120" w:after="120"/>
      <w:jc w:val="center"/>
    </w:pPr>
    <w:rPr>
      <w:rFonts w:ascii="Arial" w:eastAsia="Times New Roman" w:hAnsi="Arial"/>
      <w:b/>
      <w:color w:val="000080"/>
      <w:spacing w:val="-5"/>
      <w:lang w:eastAsia="en-US"/>
    </w:rPr>
  </w:style>
  <w:style w:type="character" w:customStyle="1" w:styleId="TableHeadingChar">
    <w:name w:val="Table Heading Char"/>
    <w:link w:val="TableHeading"/>
    <w:rsid w:val="00D9041B"/>
    <w:rPr>
      <w:rFonts w:ascii="Arial" w:eastAsia="Times New Roman" w:hAnsi="Arial"/>
      <w:b/>
      <w:color w:val="000080"/>
      <w:spacing w:val="-5"/>
      <w:lang w:eastAsia="en-US"/>
    </w:rPr>
  </w:style>
  <w:style w:type="paragraph" w:customStyle="1" w:styleId="Tabletext">
    <w:name w:val="Table text"/>
    <w:link w:val="TabletextChar"/>
    <w:uiPriority w:val="1"/>
    <w:qFormat/>
    <w:rsid w:val="00D9041B"/>
    <w:pPr>
      <w:spacing w:before="60" w:after="60"/>
    </w:pPr>
    <w:rPr>
      <w:rFonts w:ascii="Arial" w:eastAsia="Times New Roman" w:hAnsi="Arial"/>
      <w:lang w:eastAsia="en-US"/>
    </w:rPr>
  </w:style>
  <w:style w:type="paragraph" w:customStyle="1" w:styleId="TableNumbers">
    <w:name w:val="Table Numbers"/>
    <w:basedOn w:val="Normal"/>
    <w:rsid w:val="00D9041B"/>
    <w:pPr>
      <w:tabs>
        <w:tab w:val="decimal" w:pos="567"/>
      </w:tabs>
      <w:spacing w:before="60" w:after="60"/>
    </w:pPr>
    <w:rPr>
      <w:rFonts w:ascii="Arial" w:hAnsi="Arial"/>
      <w:sz w:val="20"/>
      <w:szCs w:val="20"/>
      <w:lang w:eastAsia="en-AU"/>
    </w:rPr>
  </w:style>
  <w:style w:type="paragraph" w:customStyle="1" w:styleId="Bullets">
    <w:name w:val="Bullets"/>
    <w:basedOn w:val="Normal"/>
    <w:rsid w:val="00D9041B"/>
    <w:pPr>
      <w:numPr>
        <w:numId w:val="10"/>
      </w:numPr>
      <w:spacing w:before="120" w:after="120"/>
      <w:jc w:val="both"/>
    </w:pPr>
    <w:rPr>
      <w:rFonts w:ascii="Arial" w:hAnsi="Arial"/>
      <w:sz w:val="22"/>
      <w:lang w:eastAsia="en-AU"/>
    </w:rPr>
  </w:style>
  <w:style w:type="character" w:customStyle="1" w:styleId="UnresolvedMention1">
    <w:name w:val="Unresolved Mention1"/>
    <w:basedOn w:val="DefaultParagraphFont"/>
    <w:uiPriority w:val="99"/>
    <w:semiHidden/>
    <w:unhideWhenUsed/>
    <w:rsid w:val="00D36B83"/>
    <w:rPr>
      <w:color w:val="605E5C"/>
      <w:shd w:val="clear" w:color="auto" w:fill="E1DFDD"/>
    </w:rPr>
  </w:style>
  <w:style w:type="character" w:styleId="UnresolvedMention">
    <w:name w:val="Unresolved Mention"/>
    <w:basedOn w:val="DefaultParagraphFont"/>
    <w:uiPriority w:val="99"/>
    <w:unhideWhenUsed/>
    <w:rsid w:val="00CB75C7"/>
    <w:rPr>
      <w:color w:val="605E5C"/>
      <w:shd w:val="clear" w:color="auto" w:fill="E1DFDD"/>
    </w:rPr>
  </w:style>
  <w:style w:type="character" w:styleId="Mention">
    <w:name w:val="Mention"/>
    <w:basedOn w:val="DefaultParagraphFont"/>
    <w:uiPriority w:val="99"/>
    <w:unhideWhenUsed/>
    <w:rsid w:val="00CB75C7"/>
    <w:rPr>
      <w:color w:val="2B579A"/>
      <w:shd w:val="clear" w:color="auto" w:fill="E1DFDD"/>
    </w:rPr>
  </w:style>
  <w:style w:type="paragraph" w:styleId="EndnoteText">
    <w:name w:val="endnote text"/>
    <w:basedOn w:val="Normal"/>
    <w:link w:val="EndnoteTextChar"/>
    <w:uiPriority w:val="99"/>
    <w:unhideWhenUsed/>
    <w:rsid w:val="00624C48"/>
    <w:pPr>
      <w:jc w:val="both"/>
    </w:pPr>
    <w:rPr>
      <w:rFonts w:ascii="Calibri" w:eastAsia="Calibri" w:hAnsi="Calibri"/>
      <w:sz w:val="20"/>
      <w:szCs w:val="20"/>
      <w:lang w:val="en-US" w:eastAsia="en-US" w:bidi="en-US"/>
    </w:rPr>
  </w:style>
  <w:style w:type="character" w:customStyle="1" w:styleId="EndnoteTextChar">
    <w:name w:val="Endnote Text Char"/>
    <w:basedOn w:val="DefaultParagraphFont"/>
    <w:link w:val="EndnoteText"/>
    <w:uiPriority w:val="99"/>
    <w:rsid w:val="00624C48"/>
    <w:rPr>
      <w:rFonts w:ascii="Calibri" w:hAnsi="Calibri"/>
      <w:lang w:val="en-US" w:eastAsia="en-US" w:bidi="en-US"/>
    </w:rPr>
  </w:style>
  <w:style w:type="character" w:styleId="EndnoteReference">
    <w:name w:val="endnote reference"/>
    <w:basedOn w:val="DefaultParagraphFont"/>
    <w:uiPriority w:val="99"/>
    <w:semiHidden/>
    <w:unhideWhenUsed/>
    <w:rsid w:val="00624C48"/>
    <w:rPr>
      <w:vertAlign w:val="superscript"/>
    </w:rPr>
  </w:style>
  <w:style w:type="paragraph" w:customStyle="1" w:styleId="Pa3">
    <w:name w:val="Pa3"/>
    <w:basedOn w:val="Default"/>
    <w:next w:val="Default"/>
    <w:uiPriority w:val="99"/>
    <w:rsid w:val="00624C48"/>
    <w:pPr>
      <w:spacing w:line="201" w:lineRule="atLeast"/>
    </w:pPr>
    <w:rPr>
      <w:color w:val="auto"/>
    </w:rPr>
  </w:style>
  <w:style w:type="character" w:customStyle="1" w:styleId="A2">
    <w:name w:val="A2"/>
    <w:uiPriority w:val="99"/>
    <w:rsid w:val="00624C48"/>
    <w:rPr>
      <w:color w:val="000000"/>
      <w:sz w:val="22"/>
      <w:szCs w:val="22"/>
    </w:rPr>
  </w:style>
  <w:style w:type="character" w:customStyle="1" w:styleId="A12">
    <w:name w:val="A12"/>
    <w:uiPriority w:val="99"/>
    <w:rsid w:val="00624C48"/>
    <w:rPr>
      <w:color w:val="000000"/>
      <w:sz w:val="11"/>
      <w:szCs w:val="11"/>
    </w:rPr>
  </w:style>
  <w:style w:type="character" w:customStyle="1" w:styleId="A6">
    <w:name w:val="A6"/>
    <w:uiPriority w:val="99"/>
    <w:rsid w:val="00624C48"/>
    <w:rPr>
      <w:rFonts w:cs="Helvetica Neue"/>
      <w:color w:val="000000"/>
      <w:sz w:val="22"/>
      <w:szCs w:val="22"/>
      <w:u w:val="single"/>
    </w:rPr>
  </w:style>
  <w:style w:type="character" w:customStyle="1" w:styleId="A10">
    <w:name w:val="A10"/>
    <w:uiPriority w:val="99"/>
    <w:rsid w:val="00624C48"/>
    <w:rPr>
      <w:rFonts w:cs="QCJQQV+HelveticaNeue"/>
      <w:color w:val="000000"/>
      <w:sz w:val="12"/>
      <w:szCs w:val="12"/>
    </w:rPr>
  </w:style>
  <w:style w:type="paragraph" w:customStyle="1" w:styleId="Pa12">
    <w:name w:val="Pa12"/>
    <w:basedOn w:val="Default"/>
    <w:next w:val="Default"/>
    <w:uiPriority w:val="99"/>
    <w:rsid w:val="00624C48"/>
    <w:pPr>
      <w:spacing w:line="191" w:lineRule="atLeast"/>
    </w:pPr>
    <w:rPr>
      <w:rFonts w:ascii="Gotham Light" w:hAnsi="Gotham Light" w:cs="Times New Roman"/>
      <w:color w:val="auto"/>
    </w:rPr>
  </w:style>
  <w:style w:type="character" w:customStyle="1" w:styleId="Normal1">
    <w:name w:val="Normal1"/>
    <w:qFormat/>
    <w:rsid w:val="00A06C0D"/>
    <w:rPr>
      <w:rFonts w:ascii="Gautami" w:hAnsi="Gautami"/>
      <w:color w:val="auto"/>
      <w:sz w:val="20"/>
    </w:rPr>
  </w:style>
  <w:style w:type="paragraph" w:customStyle="1" w:styleId="AERbulletlistfirststyle">
    <w:name w:val="AER bullet list (first style)"/>
    <w:basedOn w:val="Normal"/>
    <w:qFormat/>
    <w:rsid w:val="00A06C0D"/>
    <w:pPr>
      <w:tabs>
        <w:tab w:val="left" w:pos="357"/>
      </w:tabs>
      <w:spacing w:after="200" w:line="288" w:lineRule="auto"/>
      <w:jc w:val="both"/>
    </w:pPr>
    <w:rPr>
      <w:rFonts w:ascii="Gautami" w:hAnsi="Gautami"/>
      <w:sz w:val="20"/>
      <w:lang w:eastAsia="en-US"/>
    </w:rPr>
  </w:style>
  <w:style w:type="character" w:customStyle="1" w:styleId="AERtexthighlight">
    <w:name w:val="AER text highlight"/>
    <w:qFormat/>
    <w:rsid w:val="00A06C0D"/>
    <w:rPr>
      <w:bdr w:val="none" w:sz="0" w:space="0" w:color="auto"/>
      <w:shd w:val="clear" w:color="auto" w:fill="FFFF00"/>
    </w:rPr>
  </w:style>
  <w:style w:type="paragraph" w:customStyle="1" w:styleId="Source">
    <w:name w:val="Source"/>
    <w:basedOn w:val="Normal"/>
    <w:next w:val="Normal"/>
    <w:link w:val="SourceChar"/>
    <w:rsid w:val="00A06C0D"/>
    <w:pPr>
      <w:spacing w:before="200" w:after="60" w:line="276" w:lineRule="auto"/>
    </w:pPr>
    <w:rPr>
      <w:rFonts w:ascii="Arial" w:eastAsiaTheme="minorHAnsi" w:hAnsi="Arial" w:cstheme="minorBidi"/>
      <w:sz w:val="16"/>
      <w:szCs w:val="16"/>
      <w:lang w:eastAsia="en-US"/>
    </w:rPr>
  </w:style>
  <w:style w:type="character" w:customStyle="1" w:styleId="SourceChar">
    <w:name w:val="Source Char"/>
    <w:basedOn w:val="DefaultParagraphFont"/>
    <w:link w:val="Source"/>
    <w:rsid w:val="00A06C0D"/>
    <w:rPr>
      <w:rFonts w:ascii="Arial" w:eastAsiaTheme="minorHAnsi" w:hAnsi="Arial" w:cstheme="minorBidi"/>
      <w:sz w:val="16"/>
      <w:szCs w:val="16"/>
      <w:lang w:eastAsia="en-US"/>
    </w:rPr>
  </w:style>
  <w:style w:type="paragraph" w:customStyle="1" w:styleId="Tabletext-centred">
    <w:name w:val="Table text - centred"/>
    <w:basedOn w:val="Normal"/>
    <w:link w:val="Tabletext-centredChar"/>
    <w:rsid w:val="00A06C0D"/>
    <w:pPr>
      <w:spacing w:before="120" w:after="60" w:line="276" w:lineRule="auto"/>
      <w:jc w:val="center"/>
    </w:pPr>
    <w:rPr>
      <w:rFonts w:ascii="Arial" w:hAnsi="Arial"/>
      <w:sz w:val="20"/>
      <w:szCs w:val="20"/>
      <w:lang w:eastAsia="en-US"/>
    </w:rPr>
  </w:style>
  <w:style w:type="character" w:customStyle="1" w:styleId="TabletextChar">
    <w:name w:val="Table text Char"/>
    <w:basedOn w:val="DefaultParagraphFont"/>
    <w:link w:val="Tabletext"/>
    <w:uiPriority w:val="1"/>
    <w:rsid w:val="00A06C0D"/>
    <w:rPr>
      <w:rFonts w:ascii="Arial" w:eastAsia="Times New Roman" w:hAnsi="Arial"/>
      <w:lang w:eastAsia="en-US"/>
    </w:rPr>
  </w:style>
  <w:style w:type="character" w:customStyle="1" w:styleId="Tabletext-centredChar">
    <w:name w:val="Table text - centred Char"/>
    <w:basedOn w:val="DefaultParagraphFont"/>
    <w:link w:val="Tabletext-centred"/>
    <w:rsid w:val="00A06C0D"/>
    <w:rPr>
      <w:rFonts w:ascii="Arial" w:eastAsia="Times New Roman" w:hAnsi="Arial"/>
      <w:lang w:eastAsia="en-US"/>
    </w:rPr>
  </w:style>
  <w:style w:type="table" w:customStyle="1" w:styleId="AERTable-Text">
    <w:name w:val="AER Table - Text"/>
    <w:basedOn w:val="TableNormal"/>
    <w:uiPriority w:val="99"/>
    <w:rsid w:val="00A06C0D"/>
    <w:pPr>
      <w:spacing w:before="120" w:after="120"/>
    </w:pPr>
    <w:rPr>
      <w:rFonts w:ascii="Arial" w:eastAsiaTheme="minorHAnsi" w:hAnsi="Arial" w:cstheme="minorBidi"/>
      <w:szCs w:val="22"/>
      <w:lang w:eastAsia="en-US"/>
    </w:rPr>
    <w:tblPr>
      <w:tblStyleRowBandSize w:val="1"/>
      <w:tblBorders>
        <w:bottom w:val="single" w:sz="4" w:space="0" w:color="auto"/>
      </w:tblBorders>
    </w:tblPr>
    <w:tblStylePr w:type="firstRow">
      <w:pPr>
        <w:wordWrap/>
        <w:spacing w:beforeLines="0" w:beforeAutospacing="0" w:afterLines="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character" w:customStyle="1" w:styleId="AERsuperscript">
    <w:name w:val="AER superscript"/>
    <w:qFormat/>
    <w:rsid w:val="00A06C0D"/>
    <w:rPr>
      <w:rFonts w:ascii="Gautami" w:hAnsi="Gautami"/>
      <w:vertAlign w:val="superscript"/>
    </w:rPr>
  </w:style>
  <w:style w:type="paragraph" w:customStyle="1" w:styleId="AERtabletextleft">
    <w:name w:val="AER table text left"/>
    <w:qFormat/>
    <w:rsid w:val="00A06C0D"/>
    <w:pPr>
      <w:spacing w:before="80" w:after="120" w:line="288" w:lineRule="auto"/>
    </w:pPr>
    <w:rPr>
      <w:rFonts w:ascii="Gautami" w:eastAsia="Times New Roman" w:hAnsi="Gautami"/>
      <w:sz w:val="16"/>
      <w:szCs w:val="24"/>
      <w:lang w:eastAsia="en-US"/>
    </w:rPr>
  </w:style>
  <w:style w:type="character" w:customStyle="1" w:styleId="AERtextbold">
    <w:name w:val="AER text bold"/>
    <w:qFormat/>
    <w:rsid w:val="00A06C0D"/>
    <w:rPr>
      <w:b/>
    </w:rPr>
  </w:style>
  <w:style w:type="paragraph" w:customStyle="1" w:styleId="AERquote">
    <w:name w:val="AER quote"/>
    <w:next w:val="AERbodytext"/>
    <w:qFormat/>
    <w:rsid w:val="00A06C0D"/>
    <w:pPr>
      <w:tabs>
        <w:tab w:val="num" w:pos="709"/>
      </w:tabs>
      <w:spacing w:after="160" w:line="288" w:lineRule="auto"/>
      <w:ind w:left="709" w:right="720"/>
      <w:jc w:val="both"/>
    </w:pPr>
    <w:rPr>
      <w:rFonts w:ascii="Gautami" w:eastAsia="Times New Roman" w:hAnsi="Gautami"/>
      <w:color w:val="000000"/>
      <w:sz w:val="16"/>
      <w:szCs w:val="24"/>
      <w:lang w:eastAsia="en-US"/>
    </w:rPr>
  </w:style>
  <w:style w:type="character" w:customStyle="1" w:styleId="AERtextitalic">
    <w:name w:val="AER text italic"/>
    <w:qFormat/>
    <w:rsid w:val="00A06C0D"/>
    <w:rPr>
      <w:i/>
    </w:rPr>
  </w:style>
  <w:style w:type="paragraph" w:styleId="Quote">
    <w:name w:val="Quote"/>
    <w:basedOn w:val="Normal"/>
    <w:next w:val="Normal"/>
    <w:link w:val="QuoteChar"/>
    <w:uiPriority w:val="29"/>
    <w:qFormat/>
    <w:rsid w:val="00A06C0D"/>
    <w:pPr>
      <w:spacing w:after="200" w:line="276" w:lineRule="auto"/>
    </w:pPr>
    <w:rPr>
      <w:rFonts w:asciiTheme="minorHAnsi" w:eastAsiaTheme="minorEastAsia" w:hAnsiTheme="minorHAnsi" w:cstheme="minorBidi"/>
      <w:i/>
      <w:iCs/>
      <w:color w:val="000000" w:themeColor="text1"/>
      <w:sz w:val="22"/>
      <w:szCs w:val="22"/>
      <w:lang w:val="en-US" w:eastAsia="en-US" w:bidi="en-US"/>
    </w:rPr>
  </w:style>
  <w:style w:type="character" w:customStyle="1" w:styleId="QuoteChar">
    <w:name w:val="Quote Char"/>
    <w:basedOn w:val="DefaultParagraphFont"/>
    <w:link w:val="Quote"/>
    <w:uiPriority w:val="29"/>
    <w:rsid w:val="00A06C0D"/>
    <w:rPr>
      <w:rFonts w:asciiTheme="minorHAnsi" w:eastAsiaTheme="minorEastAsia" w:hAnsiTheme="minorHAnsi" w:cstheme="minorBidi"/>
      <w:i/>
      <w:iCs/>
      <w:color w:val="000000" w:themeColor="text1"/>
      <w:sz w:val="22"/>
      <w:szCs w:val="22"/>
      <w:lang w:val="en-US" w:eastAsia="en-US" w:bidi="en-US"/>
    </w:rPr>
  </w:style>
  <w:style w:type="paragraph" w:customStyle="1" w:styleId="Numberedparagraph">
    <w:name w:val="Numbered paragraph"/>
    <w:basedOn w:val="Normal"/>
    <w:rsid w:val="00A06C0D"/>
    <w:pPr>
      <w:numPr>
        <w:numId w:val="18"/>
      </w:numPr>
      <w:tabs>
        <w:tab w:val="left" w:pos="680"/>
      </w:tabs>
      <w:spacing w:before="200" w:line="276" w:lineRule="auto"/>
      <w:ind w:left="680" w:hanging="680"/>
    </w:pPr>
    <w:rPr>
      <w:rFonts w:ascii="Arial" w:hAnsi="Arial"/>
      <w:sz w:val="22"/>
      <w:szCs w:val="20"/>
      <w:lang w:eastAsia="en-US"/>
    </w:rPr>
  </w:style>
  <w:style w:type="character" w:customStyle="1" w:styleId="apple-converted-space">
    <w:name w:val="apple-converted-space"/>
    <w:basedOn w:val="DefaultParagraphFont"/>
    <w:rsid w:val="007B3294"/>
  </w:style>
  <w:style w:type="paragraph" w:customStyle="1" w:styleId="bodytextrpcbeforebullets0">
    <w:name w:val="bodytextrpcbeforebullets"/>
    <w:basedOn w:val="Normal"/>
    <w:rsid w:val="006436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4422">
      <w:bodyDiv w:val="1"/>
      <w:marLeft w:val="0"/>
      <w:marRight w:val="0"/>
      <w:marTop w:val="0"/>
      <w:marBottom w:val="0"/>
      <w:divBdr>
        <w:top w:val="none" w:sz="0" w:space="0" w:color="auto"/>
        <w:left w:val="none" w:sz="0" w:space="0" w:color="auto"/>
        <w:bottom w:val="none" w:sz="0" w:space="0" w:color="auto"/>
        <w:right w:val="none" w:sz="0" w:space="0" w:color="auto"/>
      </w:divBdr>
    </w:div>
    <w:div w:id="37096496">
      <w:bodyDiv w:val="1"/>
      <w:marLeft w:val="0"/>
      <w:marRight w:val="0"/>
      <w:marTop w:val="0"/>
      <w:marBottom w:val="0"/>
      <w:divBdr>
        <w:top w:val="none" w:sz="0" w:space="0" w:color="auto"/>
        <w:left w:val="none" w:sz="0" w:space="0" w:color="auto"/>
        <w:bottom w:val="none" w:sz="0" w:space="0" w:color="auto"/>
        <w:right w:val="none" w:sz="0" w:space="0" w:color="auto"/>
      </w:divBdr>
      <w:divsChild>
        <w:div w:id="1459563790">
          <w:marLeft w:val="0"/>
          <w:marRight w:val="0"/>
          <w:marTop w:val="0"/>
          <w:marBottom w:val="0"/>
          <w:divBdr>
            <w:top w:val="none" w:sz="0" w:space="0" w:color="auto"/>
            <w:left w:val="none" w:sz="0" w:space="0" w:color="auto"/>
            <w:bottom w:val="none" w:sz="0" w:space="0" w:color="auto"/>
            <w:right w:val="none" w:sz="0" w:space="0" w:color="auto"/>
          </w:divBdr>
          <w:divsChild>
            <w:div w:id="1594514981">
              <w:marLeft w:val="0"/>
              <w:marRight w:val="0"/>
              <w:marTop w:val="0"/>
              <w:marBottom w:val="0"/>
              <w:divBdr>
                <w:top w:val="none" w:sz="0" w:space="0" w:color="auto"/>
                <w:left w:val="none" w:sz="0" w:space="0" w:color="auto"/>
                <w:bottom w:val="none" w:sz="0" w:space="0" w:color="auto"/>
                <w:right w:val="none" w:sz="0" w:space="0" w:color="auto"/>
              </w:divBdr>
              <w:divsChild>
                <w:div w:id="12808673">
                  <w:marLeft w:val="0"/>
                  <w:marRight w:val="0"/>
                  <w:marTop w:val="0"/>
                  <w:marBottom w:val="0"/>
                  <w:divBdr>
                    <w:top w:val="none" w:sz="0" w:space="0" w:color="auto"/>
                    <w:left w:val="none" w:sz="0" w:space="0" w:color="auto"/>
                    <w:bottom w:val="none" w:sz="0" w:space="0" w:color="auto"/>
                    <w:right w:val="none" w:sz="0" w:space="0" w:color="auto"/>
                  </w:divBdr>
                  <w:divsChild>
                    <w:div w:id="313802132">
                      <w:marLeft w:val="0"/>
                      <w:marRight w:val="0"/>
                      <w:marTop w:val="0"/>
                      <w:marBottom w:val="0"/>
                      <w:divBdr>
                        <w:top w:val="none" w:sz="0" w:space="0" w:color="auto"/>
                        <w:left w:val="none" w:sz="0" w:space="0" w:color="auto"/>
                        <w:bottom w:val="none" w:sz="0" w:space="0" w:color="auto"/>
                        <w:right w:val="none" w:sz="0" w:space="0" w:color="auto"/>
                      </w:divBdr>
                      <w:divsChild>
                        <w:div w:id="743796908">
                          <w:marLeft w:val="0"/>
                          <w:marRight w:val="0"/>
                          <w:marTop w:val="0"/>
                          <w:marBottom w:val="0"/>
                          <w:divBdr>
                            <w:top w:val="none" w:sz="0" w:space="0" w:color="auto"/>
                            <w:left w:val="none" w:sz="0" w:space="0" w:color="auto"/>
                            <w:bottom w:val="none" w:sz="0" w:space="0" w:color="auto"/>
                            <w:right w:val="none" w:sz="0" w:space="0" w:color="auto"/>
                          </w:divBdr>
                          <w:divsChild>
                            <w:div w:id="828980947">
                              <w:marLeft w:val="0"/>
                              <w:marRight w:val="0"/>
                              <w:marTop w:val="0"/>
                              <w:marBottom w:val="0"/>
                              <w:divBdr>
                                <w:top w:val="none" w:sz="0" w:space="0" w:color="auto"/>
                                <w:left w:val="none" w:sz="0" w:space="0" w:color="auto"/>
                                <w:bottom w:val="none" w:sz="0" w:space="0" w:color="auto"/>
                                <w:right w:val="none" w:sz="0" w:space="0" w:color="auto"/>
                              </w:divBdr>
                              <w:divsChild>
                                <w:div w:id="1194878014">
                                  <w:marLeft w:val="0"/>
                                  <w:marRight w:val="0"/>
                                  <w:marTop w:val="0"/>
                                  <w:marBottom w:val="0"/>
                                  <w:divBdr>
                                    <w:top w:val="none" w:sz="0" w:space="0" w:color="auto"/>
                                    <w:left w:val="none" w:sz="0" w:space="0" w:color="auto"/>
                                    <w:bottom w:val="none" w:sz="0" w:space="0" w:color="auto"/>
                                    <w:right w:val="none" w:sz="0" w:space="0" w:color="auto"/>
                                  </w:divBdr>
                                  <w:divsChild>
                                    <w:div w:id="2016613826">
                                      <w:marLeft w:val="0"/>
                                      <w:marRight w:val="0"/>
                                      <w:marTop w:val="100"/>
                                      <w:marBottom w:val="100"/>
                                      <w:divBdr>
                                        <w:top w:val="none" w:sz="0" w:space="0" w:color="auto"/>
                                        <w:left w:val="none" w:sz="0" w:space="0" w:color="auto"/>
                                        <w:bottom w:val="none" w:sz="0" w:space="0" w:color="auto"/>
                                        <w:right w:val="none" w:sz="0" w:space="0" w:color="auto"/>
                                      </w:divBdr>
                                      <w:divsChild>
                                        <w:div w:id="1734085923">
                                          <w:marLeft w:val="0"/>
                                          <w:marRight w:val="0"/>
                                          <w:marTop w:val="0"/>
                                          <w:marBottom w:val="0"/>
                                          <w:divBdr>
                                            <w:top w:val="none" w:sz="0" w:space="0" w:color="auto"/>
                                            <w:left w:val="none" w:sz="0" w:space="0" w:color="auto"/>
                                            <w:bottom w:val="none" w:sz="0" w:space="0" w:color="auto"/>
                                            <w:right w:val="none" w:sz="0" w:space="0" w:color="auto"/>
                                          </w:divBdr>
                                          <w:divsChild>
                                            <w:div w:id="1588147807">
                                              <w:marLeft w:val="0"/>
                                              <w:marRight w:val="0"/>
                                              <w:marTop w:val="0"/>
                                              <w:marBottom w:val="0"/>
                                              <w:divBdr>
                                                <w:top w:val="none" w:sz="0" w:space="0" w:color="auto"/>
                                                <w:left w:val="none" w:sz="0" w:space="0" w:color="auto"/>
                                                <w:bottom w:val="none" w:sz="0" w:space="0" w:color="auto"/>
                                                <w:right w:val="none" w:sz="0" w:space="0" w:color="auto"/>
                                              </w:divBdr>
                                              <w:divsChild>
                                                <w:div w:id="192429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69202">
      <w:bodyDiv w:val="1"/>
      <w:marLeft w:val="0"/>
      <w:marRight w:val="0"/>
      <w:marTop w:val="0"/>
      <w:marBottom w:val="0"/>
      <w:divBdr>
        <w:top w:val="none" w:sz="0" w:space="0" w:color="auto"/>
        <w:left w:val="none" w:sz="0" w:space="0" w:color="auto"/>
        <w:bottom w:val="none" w:sz="0" w:space="0" w:color="auto"/>
        <w:right w:val="none" w:sz="0" w:space="0" w:color="auto"/>
      </w:divBdr>
      <w:divsChild>
        <w:div w:id="1058934818">
          <w:marLeft w:val="0"/>
          <w:marRight w:val="0"/>
          <w:marTop w:val="0"/>
          <w:marBottom w:val="0"/>
          <w:divBdr>
            <w:top w:val="none" w:sz="0" w:space="0" w:color="auto"/>
            <w:left w:val="none" w:sz="0" w:space="0" w:color="auto"/>
            <w:bottom w:val="none" w:sz="0" w:space="0" w:color="auto"/>
            <w:right w:val="none" w:sz="0" w:space="0" w:color="auto"/>
          </w:divBdr>
          <w:divsChild>
            <w:div w:id="2095740551">
              <w:marLeft w:val="0"/>
              <w:marRight w:val="0"/>
              <w:marTop w:val="0"/>
              <w:marBottom w:val="0"/>
              <w:divBdr>
                <w:top w:val="none" w:sz="0" w:space="0" w:color="auto"/>
                <w:left w:val="none" w:sz="0" w:space="0" w:color="auto"/>
                <w:bottom w:val="none" w:sz="0" w:space="0" w:color="auto"/>
                <w:right w:val="none" w:sz="0" w:space="0" w:color="auto"/>
              </w:divBdr>
              <w:divsChild>
                <w:div w:id="4020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76752">
      <w:bodyDiv w:val="1"/>
      <w:marLeft w:val="0"/>
      <w:marRight w:val="0"/>
      <w:marTop w:val="0"/>
      <w:marBottom w:val="0"/>
      <w:divBdr>
        <w:top w:val="none" w:sz="0" w:space="0" w:color="auto"/>
        <w:left w:val="none" w:sz="0" w:space="0" w:color="auto"/>
        <w:bottom w:val="none" w:sz="0" w:space="0" w:color="auto"/>
        <w:right w:val="none" w:sz="0" w:space="0" w:color="auto"/>
      </w:divBdr>
      <w:divsChild>
        <w:div w:id="1196893313">
          <w:marLeft w:val="0"/>
          <w:marRight w:val="0"/>
          <w:marTop w:val="0"/>
          <w:marBottom w:val="0"/>
          <w:divBdr>
            <w:top w:val="none" w:sz="0" w:space="0" w:color="auto"/>
            <w:left w:val="none" w:sz="0" w:space="0" w:color="auto"/>
            <w:bottom w:val="none" w:sz="0" w:space="0" w:color="auto"/>
            <w:right w:val="none" w:sz="0" w:space="0" w:color="auto"/>
          </w:divBdr>
          <w:divsChild>
            <w:div w:id="1471945211">
              <w:marLeft w:val="0"/>
              <w:marRight w:val="0"/>
              <w:marTop w:val="0"/>
              <w:marBottom w:val="0"/>
              <w:divBdr>
                <w:top w:val="none" w:sz="0" w:space="0" w:color="auto"/>
                <w:left w:val="none" w:sz="0" w:space="0" w:color="auto"/>
                <w:bottom w:val="none" w:sz="0" w:space="0" w:color="auto"/>
                <w:right w:val="none" w:sz="0" w:space="0" w:color="auto"/>
              </w:divBdr>
              <w:divsChild>
                <w:div w:id="206818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5431">
      <w:bodyDiv w:val="1"/>
      <w:marLeft w:val="0"/>
      <w:marRight w:val="0"/>
      <w:marTop w:val="0"/>
      <w:marBottom w:val="0"/>
      <w:divBdr>
        <w:top w:val="none" w:sz="0" w:space="0" w:color="auto"/>
        <w:left w:val="none" w:sz="0" w:space="0" w:color="auto"/>
        <w:bottom w:val="none" w:sz="0" w:space="0" w:color="auto"/>
        <w:right w:val="none" w:sz="0" w:space="0" w:color="auto"/>
      </w:divBdr>
    </w:div>
    <w:div w:id="84769051">
      <w:bodyDiv w:val="1"/>
      <w:marLeft w:val="0"/>
      <w:marRight w:val="0"/>
      <w:marTop w:val="0"/>
      <w:marBottom w:val="0"/>
      <w:divBdr>
        <w:top w:val="none" w:sz="0" w:space="0" w:color="auto"/>
        <w:left w:val="none" w:sz="0" w:space="0" w:color="auto"/>
        <w:bottom w:val="none" w:sz="0" w:space="0" w:color="auto"/>
        <w:right w:val="none" w:sz="0" w:space="0" w:color="auto"/>
      </w:divBdr>
      <w:divsChild>
        <w:div w:id="1163350402">
          <w:marLeft w:val="0"/>
          <w:marRight w:val="0"/>
          <w:marTop w:val="0"/>
          <w:marBottom w:val="0"/>
          <w:divBdr>
            <w:top w:val="none" w:sz="0" w:space="0" w:color="auto"/>
            <w:left w:val="none" w:sz="0" w:space="0" w:color="auto"/>
            <w:bottom w:val="none" w:sz="0" w:space="0" w:color="auto"/>
            <w:right w:val="none" w:sz="0" w:space="0" w:color="auto"/>
          </w:divBdr>
          <w:divsChild>
            <w:div w:id="729575537">
              <w:marLeft w:val="0"/>
              <w:marRight w:val="0"/>
              <w:marTop w:val="0"/>
              <w:marBottom w:val="0"/>
              <w:divBdr>
                <w:top w:val="none" w:sz="0" w:space="0" w:color="auto"/>
                <w:left w:val="none" w:sz="0" w:space="0" w:color="auto"/>
                <w:bottom w:val="none" w:sz="0" w:space="0" w:color="auto"/>
                <w:right w:val="none" w:sz="0" w:space="0" w:color="auto"/>
              </w:divBdr>
              <w:divsChild>
                <w:div w:id="1266156338">
                  <w:marLeft w:val="0"/>
                  <w:marRight w:val="0"/>
                  <w:marTop w:val="0"/>
                  <w:marBottom w:val="0"/>
                  <w:divBdr>
                    <w:top w:val="none" w:sz="0" w:space="0" w:color="auto"/>
                    <w:left w:val="none" w:sz="0" w:space="0" w:color="auto"/>
                    <w:bottom w:val="none" w:sz="0" w:space="0" w:color="auto"/>
                    <w:right w:val="none" w:sz="0" w:space="0" w:color="auto"/>
                  </w:divBdr>
                  <w:divsChild>
                    <w:div w:id="45576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4160">
      <w:bodyDiv w:val="1"/>
      <w:marLeft w:val="0"/>
      <w:marRight w:val="0"/>
      <w:marTop w:val="0"/>
      <w:marBottom w:val="0"/>
      <w:divBdr>
        <w:top w:val="none" w:sz="0" w:space="0" w:color="auto"/>
        <w:left w:val="none" w:sz="0" w:space="0" w:color="auto"/>
        <w:bottom w:val="none" w:sz="0" w:space="0" w:color="auto"/>
        <w:right w:val="none" w:sz="0" w:space="0" w:color="auto"/>
      </w:divBdr>
      <w:divsChild>
        <w:div w:id="450708265">
          <w:marLeft w:val="0"/>
          <w:marRight w:val="0"/>
          <w:marTop w:val="0"/>
          <w:marBottom w:val="0"/>
          <w:divBdr>
            <w:top w:val="none" w:sz="0" w:space="0" w:color="auto"/>
            <w:left w:val="none" w:sz="0" w:space="0" w:color="auto"/>
            <w:bottom w:val="none" w:sz="0" w:space="0" w:color="auto"/>
            <w:right w:val="none" w:sz="0" w:space="0" w:color="auto"/>
          </w:divBdr>
          <w:divsChild>
            <w:div w:id="336613766">
              <w:marLeft w:val="0"/>
              <w:marRight w:val="0"/>
              <w:marTop w:val="0"/>
              <w:marBottom w:val="0"/>
              <w:divBdr>
                <w:top w:val="none" w:sz="0" w:space="0" w:color="auto"/>
                <w:left w:val="none" w:sz="0" w:space="0" w:color="auto"/>
                <w:bottom w:val="none" w:sz="0" w:space="0" w:color="auto"/>
                <w:right w:val="none" w:sz="0" w:space="0" w:color="auto"/>
              </w:divBdr>
              <w:divsChild>
                <w:div w:id="8034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0601">
      <w:bodyDiv w:val="1"/>
      <w:marLeft w:val="0"/>
      <w:marRight w:val="0"/>
      <w:marTop w:val="0"/>
      <w:marBottom w:val="0"/>
      <w:divBdr>
        <w:top w:val="none" w:sz="0" w:space="0" w:color="auto"/>
        <w:left w:val="none" w:sz="0" w:space="0" w:color="auto"/>
        <w:bottom w:val="none" w:sz="0" w:space="0" w:color="auto"/>
        <w:right w:val="none" w:sz="0" w:space="0" w:color="auto"/>
      </w:divBdr>
      <w:divsChild>
        <w:div w:id="41095703">
          <w:marLeft w:val="0"/>
          <w:marRight w:val="0"/>
          <w:marTop w:val="0"/>
          <w:marBottom w:val="0"/>
          <w:divBdr>
            <w:top w:val="none" w:sz="0" w:space="0" w:color="auto"/>
            <w:left w:val="none" w:sz="0" w:space="0" w:color="auto"/>
            <w:bottom w:val="none" w:sz="0" w:space="0" w:color="auto"/>
            <w:right w:val="none" w:sz="0" w:space="0" w:color="auto"/>
          </w:divBdr>
          <w:divsChild>
            <w:div w:id="379861660">
              <w:marLeft w:val="0"/>
              <w:marRight w:val="0"/>
              <w:marTop w:val="0"/>
              <w:marBottom w:val="0"/>
              <w:divBdr>
                <w:top w:val="none" w:sz="0" w:space="0" w:color="auto"/>
                <w:left w:val="none" w:sz="0" w:space="0" w:color="auto"/>
                <w:bottom w:val="none" w:sz="0" w:space="0" w:color="auto"/>
                <w:right w:val="none" w:sz="0" w:space="0" w:color="auto"/>
              </w:divBdr>
              <w:divsChild>
                <w:div w:id="39330382">
                  <w:marLeft w:val="0"/>
                  <w:marRight w:val="0"/>
                  <w:marTop w:val="0"/>
                  <w:marBottom w:val="0"/>
                  <w:divBdr>
                    <w:top w:val="none" w:sz="0" w:space="0" w:color="auto"/>
                    <w:left w:val="none" w:sz="0" w:space="0" w:color="auto"/>
                    <w:bottom w:val="none" w:sz="0" w:space="0" w:color="auto"/>
                    <w:right w:val="none" w:sz="0" w:space="0" w:color="auto"/>
                  </w:divBdr>
                  <w:divsChild>
                    <w:div w:id="2405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63075">
      <w:bodyDiv w:val="1"/>
      <w:marLeft w:val="0"/>
      <w:marRight w:val="0"/>
      <w:marTop w:val="0"/>
      <w:marBottom w:val="0"/>
      <w:divBdr>
        <w:top w:val="none" w:sz="0" w:space="0" w:color="auto"/>
        <w:left w:val="none" w:sz="0" w:space="0" w:color="auto"/>
        <w:bottom w:val="none" w:sz="0" w:space="0" w:color="auto"/>
        <w:right w:val="none" w:sz="0" w:space="0" w:color="auto"/>
      </w:divBdr>
      <w:divsChild>
        <w:div w:id="1150054441">
          <w:marLeft w:val="0"/>
          <w:marRight w:val="0"/>
          <w:marTop w:val="0"/>
          <w:marBottom w:val="0"/>
          <w:divBdr>
            <w:top w:val="none" w:sz="0" w:space="0" w:color="auto"/>
            <w:left w:val="none" w:sz="0" w:space="0" w:color="auto"/>
            <w:bottom w:val="none" w:sz="0" w:space="0" w:color="auto"/>
            <w:right w:val="none" w:sz="0" w:space="0" w:color="auto"/>
          </w:divBdr>
          <w:divsChild>
            <w:div w:id="1285425962">
              <w:marLeft w:val="0"/>
              <w:marRight w:val="0"/>
              <w:marTop w:val="0"/>
              <w:marBottom w:val="0"/>
              <w:divBdr>
                <w:top w:val="none" w:sz="0" w:space="0" w:color="auto"/>
                <w:left w:val="none" w:sz="0" w:space="0" w:color="auto"/>
                <w:bottom w:val="none" w:sz="0" w:space="0" w:color="auto"/>
                <w:right w:val="none" w:sz="0" w:space="0" w:color="auto"/>
              </w:divBdr>
              <w:divsChild>
                <w:div w:id="1583030973">
                  <w:marLeft w:val="0"/>
                  <w:marRight w:val="0"/>
                  <w:marTop w:val="0"/>
                  <w:marBottom w:val="0"/>
                  <w:divBdr>
                    <w:top w:val="none" w:sz="0" w:space="0" w:color="auto"/>
                    <w:left w:val="none" w:sz="0" w:space="0" w:color="auto"/>
                    <w:bottom w:val="none" w:sz="0" w:space="0" w:color="auto"/>
                    <w:right w:val="none" w:sz="0" w:space="0" w:color="auto"/>
                  </w:divBdr>
                  <w:divsChild>
                    <w:div w:id="4022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1737">
      <w:bodyDiv w:val="1"/>
      <w:marLeft w:val="0"/>
      <w:marRight w:val="0"/>
      <w:marTop w:val="0"/>
      <w:marBottom w:val="0"/>
      <w:divBdr>
        <w:top w:val="none" w:sz="0" w:space="0" w:color="auto"/>
        <w:left w:val="none" w:sz="0" w:space="0" w:color="auto"/>
        <w:bottom w:val="none" w:sz="0" w:space="0" w:color="auto"/>
        <w:right w:val="none" w:sz="0" w:space="0" w:color="auto"/>
      </w:divBdr>
      <w:divsChild>
        <w:div w:id="197937024">
          <w:marLeft w:val="0"/>
          <w:marRight w:val="0"/>
          <w:marTop w:val="0"/>
          <w:marBottom w:val="0"/>
          <w:divBdr>
            <w:top w:val="none" w:sz="0" w:space="0" w:color="auto"/>
            <w:left w:val="none" w:sz="0" w:space="0" w:color="auto"/>
            <w:bottom w:val="none" w:sz="0" w:space="0" w:color="auto"/>
            <w:right w:val="none" w:sz="0" w:space="0" w:color="auto"/>
          </w:divBdr>
          <w:divsChild>
            <w:div w:id="488594489">
              <w:marLeft w:val="0"/>
              <w:marRight w:val="0"/>
              <w:marTop w:val="0"/>
              <w:marBottom w:val="0"/>
              <w:divBdr>
                <w:top w:val="none" w:sz="0" w:space="0" w:color="auto"/>
                <w:left w:val="none" w:sz="0" w:space="0" w:color="auto"/>
                <w:bottom w:val="none" w:sz="0" w:space="0" w:color="auto"/>
                <w:right w:val="none" w:sz="0" w:space="0" w:color="auto"/>
              </w:divBdr>
              <w:divsChild>
                <w:div w:id="20179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1196">
      <w:bodyDiv w:val="1"/>
      <w:marLeft w:val="0"/>
      <w:marRight w:val="0"/>
      <w:marTop w:val="0"/>
      <w:marBottom w:val="0"/>
      <w:divBdr>
        <w:top w:val="none" w:sz="0" w:space="0" w:color="auto"/>
        <w:left w:val="none" w:sz="0" w:space="0" w:color="auto"/>
        <w:bottom w:val="none" w:sz="0" w:space="0" w:color="auto"/>
        <w:right w:val="none" w:sz="0" w:space="0" w:color="auto"/>
      </w:divBdr>
    </w:div>
    <w:div w:id="191114304">
      <w:bodyDiv w:val="1"/>
      <w:marLeft w:val="0"/>
      <w:marRight w:val="0"/>
      <w:marTop w:val="0"/>
      <w:marBottom w:val="0"/>
      <w:divBdr>
        <w:top w:val="none" w:sz="0" w:space="0" w:color="auto"/>
        <w:left w:val="none" w:sz="0" w:space="0" w:color="auto"/>
        <w:bottom w:val="none" w:sz="0" w:space="0" w:color="auto"/>
        <w:right w:val="none" w:sz="0" w:space="0" w:color="auto"/>
      </w:divBdr>
      <w:divsChild>
        <w:div w:id="351882843">
          <w:marLeft w:val="0"/>
          <w:marRight w:val="0"/>
          <w:marTop w:val="0"/>
          <w:marBottom w:val="0"/>
          <w:divBdr>
            <w:top w:val="none" w:sz="0" w:space="0" w:color="auto"/>
            <w:left w:val="none" w:sz="0" w:space="0" w:color="auto"/>
            <w:bottom w:val="none" w:sz="0" w:space="0" w:color="auto"/>
            <w:right w:val="none" w:sz="0" w:space="0" w:color="auto"/>
          </w:divBdr>
          <w:divsChild>
            <w:div w:id="1478524640">
              <w:marLeft w:val="0"/>
              <w:marRight w:val="0"/>
              <w:marTop w:val="0"/>
              <w:marBottom w:val="0"/>
              <w:divBdr>
                <w:top w:val="none" w:sz="0" w:space="0" w:color="auto"/>
                <w:left w:val="none" w:sz="0" w:space="0" w:color="auto"/>
                <w:bottom w:val="none" w:sz="0" w:space="0" w:color="auto"/>
                <w:right w:val="none" w:sz="0" w:space="0" w:color="auto"/>
              </w:divBdr>
              <w:divsChild>
                <w:div w:id="1899895128">
                  <w:marLeft w:val="0"/>
                  <w:marRight w:val="0"/>
                  <w:marTop w:val="0"/>
                  <w:marBottom w:val="0"/>
                  <w:divBdr>
                    <w:top w:val="none" w:sz="0" w:space="0" w:color="auto"/>
                    <w:left w:val="none" w:sz="0" w:space="0" w:color="auto"/>
                    <w:bottom w:val="none" w:sz="0" w:space="0" w:color="auto"/>
                    <w:right w:val="none" w:sz="0" w:space="0" w:color="auto"/>
                  </w:divBdr>
                </w:div>
                <w:div w:id="20293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18441">
      <w:bodyDiv w:val="1"/>
      <w:marLeft w:val="0"/>
      <w:marRight w:val="0"/>
      <w:marTop w:val="0"/>
      <w:marBottom w:val="0"/>
      <w:divBdr>
        <w:top w:val="none" w:sz="0" w:space="0" w:color="auto"/>
        <w:left w:val="none" w:sz="0" w:space="0" w:color="auto"/>
        <w:bottom w:val="none" w:sz="0" w:space="0" w:color="auto"/>
        <w:right w:val="none" w:sz="0" w:space="0" w:color="auto"/>
      </w:divBdr>
      <w:divsChild>
        <w:div w:id="79718794">
          <w:marLeft w:val="0"/>
          <w:marRight w:val="0"/>
          <w:marTop w:val="0"/>
          <w:marBottom w:val="0"/>
          <w:divBdr>
            <w:top w:val="none" w:sz="0" w:space="0" w:color="auto"/>
            <w:left w:val="none" w:sz="0" w:space="0" w:color="auto"/>
            <w:bottom w:val="none" w:sz="0" w:space="0" w:color="auto"/>
            <w:right w:val="none" w:sz="0" w:space="0" w:color="auto"/>
          </w:divBdr>
          <w:divsChild>
            <w:div w:id="2130858997">
              <w:marLeft w:val="0"/>
              <w:marRight w:val="0"/>
              <w:marTop w:val="0"/>
              <w:marBottom w:val="0"/>
              <w:divBdr>
                <w:top w:val="none" w:sz="0" w:space="0" w:color="auto"/>
                <w:left w:val="none" w:sz="0" w:space="0" w:color="auto"/>
                <w:bottom w:val="none" w:sz="0" w:space="0" w:color="auto"/>
                <w:right w:val="none" w:sz="0" w:space="0" w:color="auto"/>
              </w:divBdr>
              <w:divsChild>
                <w:div w:id="8509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364222">
      <w:bodyDiv w:val="1"/>
      <w:marLeft w:val="0"/>
      <w:marRight w:val="0"/>
      <w:marTop w:val="0"/>
      <w:marBottom w:val="0"/>
      <w:divBdr>
        <w:top w:val="none" w:sz="0" w:space="0" w:color="auto"/>
        <w:left w:val="none" w:sz="0" w:space="0" w:color="auto"/>
        <w:bottom w:val="none" w:sz="0" w:space="0" w:color="auto"/>
        <w:right w:val="none" w:sz="0" w:space="0" w:color="auto"/>
      </w:divBdr>
    </w:div>
    <w:div w:id="243034130">
      <w:bodyDiv w:val="1"/>
      <w:marLeft w:val="0"/>
      <w:marRight w:val="0"/>
      <w:marTop w:val="0"/>
      <w:marBottom w:val="0"/>
      <w:divBdr>
        <w:top w:val="none" w:sz="0" w:space="0" w:color="auto"/>
        <w:left w:val="none" w:sz="0" w:space="0" w:color="auto"/>
        <w:bottom w:val="none" w:sz="0" w:space="0" w:color="auto"/>
        <w:right w:val="none" w:sz="0" w:space="0" w:color="auto"/>
      </w:divBdr>
    </w:div>
    <w:div w:id="245849017">
      <w:bodyDiv w:val="1"/>
      <w:marLeft w:val="0"/>
      <w:marRight w:val="0"/>
      <w:marTop w:val="0"/>
      <w:marBottom w:val="0"/>
      <w:divBdr>
        <w:top w:val="none" w:sz="0" w:space="0" w:color="auto"/>
        <w:left w:val="none" w:sz="0" w:space="0" w:color="auto"/>
        <w:bottom w:val="none" w:sz="0" w:space="0" w:color="auto"/>
        <w:right w:val="none" w:sz="0" w:space="0" w:color="auto"/>
      </w:divBdr>
      <w:divsChild>
        <w:div w:id="126511479">
          <w:marLeft w:val="0"/>
          <w:marRight w:val="0"/>
          <w:marTop w:val="0"/>
          <w:marBottom w:val="0"/>
          <w:divBdr>
            <w:top w:val="none" w:sz="0" w:space="0" w:color="auto"/>
            <w:left w:val="none" w:sz="0" w:space="0" w:color="auto"/>
            <w:bottom w:val="none" w:sz="0" w:space="0" w:color="auto"/>
            <w:right w:val="none" w:sz="0" w:space="0" w:color="auto"/>
          </w:divBdr>
          <w:divsChild>
            <w:div w:id="542716231">
              <w:marLeft w:val="0"/>
              <w:marRight w:val="0"/>
              <w:marTop w:val="0"/>
              <w:marBottom w:val="0"/>
              <w:divBdr>
                <w:top w:val="none" w:sz="0" w:space="0" w:color="auto"/>
                <w:left w:val="none" w:sz="0" w:space="0" w:color="auto"/>
                <w:bottom w:val="none" w:sz="0" w:space="0" w:color="auto"/>
                <w:right w:val="none" w:sz="0" w:space="0" w:color="auto"/>
              </w:divBdr>
              <w:divsChild>
                <w:div w:id="1154564215">
                  <w:marLeft w:val="0"/>
                  <w:marRight w:val="0"/>
                  <w:marTop w:val="0"/>
                  <w:marBottom w:val="0"/>
                  <w:divBdr>
                    <w:top w:val="none" w:sz="0" w:space="0" w:color="auto"/>
                    <w:left w:val="none" w:sz="0" w:space="0" w:color="auto"/>
                    <w:bottom w:val="none" w:sz="0" w:space="0" w:color="auto"/>
                    <w:right w:val="none" w:sz="0" w:space="0" w:color="auto"/>
                  </w:divBdr>
                  <w:divsChild>
                    <w:div w:id="155099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85473">
      <w:bodyDiv w:val="1"/>
      <w:marLeft w:val="0"/>
      <w:marRight w:val="0"/>
      <w:marTop w:val="0"/>
      <w:marBottom w:val="0"/>
      <w:divBdr>
        <w:top w:val="none" w:sz="0" w:space="0" w:color="auto"/>
        <w:left w:val="none" w:sz="0" w:space="0" w:color="auto"/>
        <w:bottom w:val="none" w:sz="0" w:space="0" w:color="auto"/>
        <w:right w:val="none" w:sz="0" w:space="0" w:color="auto"/>
      </w:divBdr>
      <w:divsChild>
        <w:div w:id="842815104">
          <w:marLeft w:val="0"/>
          <w:marRight w:val="0"/>
          <w:marTop w:val="0"/>
          <w:marBottom w:val="0"/>
          <w:divBdr>
            <w:top w:val="none" w:sz="0" w:space="0" w:color="auto"/>
            <w:left w:val="none" w:sz="0" w:space="0" w:color="auto"/>
            <w:bottom w:val="none" w:sz="0" w:space="0" w:color="auto"/>
            <w:right w:val="none" w:sz="0" w:space="0" w:color="auto"/>
          </w:divBdr>
          <w:divsChild>
            <w:div w:id="1434395488">
              <w:marLeft w:val="0"/>
              <w:marRight w:val="0"/>
              <w:marTop w:val="0"/>
              <w:marBottom w:val="0"/>
              <w:divBdr>
                <w:top w:val="none" w:sz="0" w:space="0" w:color="auto"/>
                <w:left w:val="none" w:sz="0" w:space="0" w:color="auto"/>
                <w:bottom w:val="none" w:sz="0" w:space="0" w:color="auto"/>
                <w:right w:val="none" w:sz="0" w:space="0" w:color="auto"/>
              </w:divBdr>
              <w:divsChild>
                <w:div w:id="1209950597">
                  <w:marLeft w:val="0"/>
                  <w:marRight w:val="0"/>
                  <w:marTop w:val="0"/>
                  <w:marBottom w:val="0"/>
                  <w:divBdr>
                    <w:top w:val="none" w:sz="0" w:space="0" w:color="auto"/>
                    <w:left w:val="none" w:sz="0" w:space="0" w:color="auto"/>
                    <w:bottom w:val="none" w:sz="0" w:space="0" w:color="auto"/>
                    <w:right w:val="none" w:sz="0" w:space="0" w:color="auto"/>
                  </w:divBdr>
                  <w:divsChild>
                    <w:div w:id="16279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944743">
      <w:bodyDiv w:val="1"/>
      <w:marLeft w:val="0"/>
      <w:marRight w:val="0"/>
      <w:marTop w:val="0"/>
      <w:marBottom w:val="0"/>
      <w:divBdr>
        <w:top w:val="none" w:sz="0" w:space="0" w:color="auto"/>
        <w:left w:val="none" w:sz="0" w:space="0" w:color="auto"/>
        <w:bottom w:val="none" w:sz="0" w:space="0" w:color="auto"/>
        <w:right w:val="none" w:sz="0" w:space="0" w:color="auto"/>
      </w:divBdr>
    </w:div>
    <w:div w:id="272979849">
      <w:bodyDiv w:val="1"/>
      <w:marLeft w:val="0"/>
      <w:marRight w:val="0"/>
      <w:marTop w:val="0"/>
      <w:marBottom w:val="0"/>
      <w:divBdr>
        <w:top w:val="none" w:sz="0" w:space="0" w:color="auto"/>
        <w:left w:val="none" w:sz="0" w:space="0" w:color="auto"/>
        <w:bottom w:val="none" w:sz="0" w:space="0" w:color="auto"/>
        <w:right w:val="none" w:sz="0" w:space="0" w:color="auto"/>
      </w:divBdr>
      <w:divsChild>
        <w:div w:id="309603012">
          <w:marLeft w:val="446"/>
          <w:marRight w:val="0"/>
          <w:marTop w:val="0"/>
          <w:marBottom w:val="120"/>
          <w:divBdr>
            <w:top w:val="none" w:sz="0" w:space="0" w:color="auto"/>
            <w:left w:val="none" w:sz="0" w:space="0" w:color="auto"/>
            <w:bottom w:val="none" w:sz="0" w:space="0" w:color="auto"/>
            <w:right w:val="none" w:sz="0" w:space="0" w:color="auto"/>
          </w:divBdr>
        </w:div>
        <w:div w:id="452022057">
          <w:marLeft w:val="446"/>
          <w:marRight w:val="0"/>
          <w:marTop w:val="0"/>
          <w:marBottom w:val="120"/>
          <w:divBdr>
            <w:top w:val="none" w:sz="0" w:space="0" w:color="auto"/>
            <w:left w:val="none" w:sz="0" w:space="0" w:color="auto"/>
            <w:bottom w:val="none" w:sz="0" w:space="0" w:color="auto"/>
            <w:right w:val="none" w:sz="0" w:space="0" w:color="auto"/>
          </w:divBdr>
        </w:div>
        <w:div w:id="1137188583">
          <w:marLeft w:val="446"/>
          <w:marRight w:val="0"/>
          <w:marTop w:val="0"/>
          <w:marBottom w:val="120"/>
          <w:divBdr>
            <w:top w:val="none" w:sz="0" w:space="0" w:color="auto"/>
            <w:left w:val="none" w:sz="0" w:space="0" w:color="auto"/>
            <w:bottom w:val="none" w:sz="0" w:space="0" w:color="auto"/>
            <w:right w:val="none" w:sz="0" w:space="0" w:color="auto"/>
          </w:divBdr>
        </w:div>
        <w:div w:id="1508209094">
          <w:marLeft w:val="446"/>
          <w:marRight w:val="0"/>
          <w:marTop w:val="0"/>
          <w:marBottom w:val="120"/>
          <w:divBdr>
            <w:top w:val="none" w:sz="0" w:space="0" w:color="auto"/>
            <w:left w:val="none" w:sz="0" w:space="0" w:color="auto"/>
            <w:bottom w:val="none" w:sz="0" w:space="0" w:color="auto"/>
            <w:right w:val="none" w:sz="0" w:space="0" w:color="auto"/>
          </w:divBdr>
        </w:div>
        <w:div w:id="1850832257">
          <w:marLeft w:val="446"/>
          <w:marRight w:val="0"/>
          <w:marTop w:val="0"/>
          <w:marBottom w:val="120"/>
          <w:divBdr>
            <w:top w:val="none" w:sz="0" w:space="0" w:color="auto"/>
            <w:left w:val="none" w:sz="0" w:space="0" w:color="auto"/>
            <w:bottom w:val="none" w:sz="0" w:space="0" w:color="auto"/>
            <w:right w:val="none" w:sz="0" w:space="0" w:color="auto"/>
          </w:divBdr>
        </w:div>
      </w:divsChild>
    </w:div>
    <w:div w:id="279651451">
      <w:bodyDiv w:val="1"/>
      <w:marLeft w:val="0"/>
      <w:marRight w:val="0"/>
      <w:marTop w:val="0"/>
      <w:marBottom w:val="0"/>
      <w:divBdr>
        <w:top w:val="none" w:sz="0" w:space="0" w:color="auto"/>
        <w:left w:val="none" w:sz="0" w:space="0" w:color="auto"/>
        <w:bottom w:val="none" w:sz="0" w:space="0" w:color="auto"/>
        <w:right w:val="none" w:sz="0" w:space="0" w:color="auto"/>
      </w:divBdr>
      <w:divsChild>
        <w:div w:id="1851720434">
          <w:marLeft w:val="0"/>
          <w:marRight w:val="0"/>
          <w:marTop w:val="0"/>
          <w:marBottom w:val="0"/>
          <w:divBdr>
            <w:top w:val="none" w:sz="0" w:space="0" w:color="auto"/>
            <w:left w:val="none" w:sz="0" w:space="0" w:color="auto"/>
            <w:bottom w:val="none" w:sz="0" w:space="0" w:color="auto"/>
            <w:right w:val="none" w:sz="0" w:space="0" w:color="auto"/>
          </w:divBdr>
          <w:divsChild>
            <w:div w:id="1384793249">
              <w:marLeft w:val="0"/>
              <w:marRight w:val="0"/>
              <w:marTop w:val="0"/>
              <w:marBottom w:val="0"/>
              <w:divBdr>
                <w:top w:val="none" w:sz="0" w:space="0" w:color="auto"/>
                <w:left w:val="none" w:sz="0" w:space="0" w:color="auto"/>
                <w:bottom w:val="none" w:sz="0" w:space="0" w:color="auto"/>
                <w:right w:val="none" w:sz="0" w:space="0" w:color="auto"/>
              </w:divBdr>
              <w:divsChild>
                <w:div w:id="20357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32347">
      <w:bodyDiv w:val="1"/>
      <w:marLeft w:val="0"/>
      <w:marRight w:val="0"/>
      <w:marTop w:val="0"/>
      <w:marBottom w:val="0"/>
      <w:divBdr>
        <w:top w:val="none" w:sz="0" w:space="0" w:color="auto"/>
        <w:left w:val="none" w:sz="0" w:space="0" w:color="auto"/>
        <w:bottom w:val="none" w:sz="0" w:space="0" w:color="auto"/>
        <w:right w:val="none" w:sz="0" w:space="0" w:color="auto"/>
      </w:divBdr>
      <w:divsChild>
        <w:div w:id="1716274395">
          <w:marLeft w:val="0"/>
          <w:marRight w:val="0"/>
          <w:marTop w:val="0"/>
          <w:marBottom w:val="0"/>
          <w:divBdr>
            <w:top w:val="none" w:sz="0" w:space="0" w:color="auto"/>
            <w:left w:val="none" w:sz="0" w:space="0" w:color="auto"/>
            <w:bottom w:val="none" w:sz="0" w:space="0" w:color="auto"/>
            <w:right w:val="none" w:sz="0" w:space="0" w:color="auto"/>
          </w:divBdr>
          <w:divsChild>
            <w:div w:id="1916821497">
              <w:marLeft w:val="0"/>
              <w:marRight w:val="0"/>
              <w:marTop w:val="0"/>
              <w:marBottom w:val="0"/>
              <w:divBdr>
                <w:top w:val="none" w:sz="0" w:space="0" w:color="auto"/>
                <w:left w:val="none" w:sz="0" w:space="0" w:color="auto"/>
                <w:bottom w:val="none" w:sz="0" w:space="0" w:color="auto"/>
                <w:right w:val="none" w:sz="0" w:space="0" w:color="auto"/>
              </w:divBdr>
              <w:divsChild>
                <w:div w:id="1869753523">
                  <w:marLeft w:val="0"/>
                  <w:marRight w:val="0"/>
                  <w:marTop w:val="0"/>
                  <w:marBottom w:val="0"/>
                  <w:divBdr>
                    <w:top w:val="none" w:sz="0" w:space="0" w:color="auto"/>
                    <w:left w:val="none" w:sz="0" w:space="0" w:color="auto"/>
                    <w:bottom w:val="none" w:sz="0" w:space="0" w:color="auto"/>
                    <w:right w:val="none" w:sz="0" w:space="0" w:color="auto"/>
                  </w:divBdr>
                  <w:divsChild>
                    <w:div w:id="18065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82031">
      <w:bodyDiv w:val="1"/>
      <w:marLeft w:val="0"/>
      <w:marRight w:val="0"/>
      <w:marTop w:val="0"/>
      <w:marBottom w:val="0"/>
      <w:divBdr>
        <w:top w:val="none" w:sz="0" w:space="0" w:color="auto"/>
        <w:left w:val="none" w:sz="0" w:space="0" w:color="auto"/>
        <w:bottom w:val="none" w:sz="0" w:space="0" w:color="auto"/>
        <w:right w:val="none" w:sz="0" w:space="0" w:color="auto"/>
      </w:divBdr>
      <w:divsChild>
        <w:div w:id="1527985346">
          <w:marLeft w:val="0"/>
          <w:marRight w:val="0"/>
          <w:marTop w:val="0"/>
          <w:marBottom w:val="0"/>
          <w:divBdr>
            <w:top w:val="none" w:sz="0" w:space="0" w:color="auto"/>
            <w:left w:val="none" w:sz="0" w:space="0" w:color="auto"/>
            <w:bottom w:val="none" w:sz="0" w:space="0" w:color="auto"/>
            <w:right w:val="none" w:sz="0" w:space="0" w:color="auto"/>
          </w:divBdr>
          <w:divsChild>
            <w:div w:id="221408573">
              <w:marLeft w:val="0"/>
              <w:marRight w:val="0"/>
              <w:marTop w:val="0"/>
              <w:marBottom w:val="0"/>
              <w:divBdr>
                <w:top w:val="none" w:sz="0" w:space="0" w:color="auto"/>
                <w:left w:val="none" w:sz="0" w:space="0" w:color="auto"/>
                <w:bottom w:val="none" w:sz="0" w:space="0" w:color="auto"/>
                <w:right w:val="none" w:sz="0" w:space="0" w:color="auto"/>
              </w:divBdr>
              <w:divsChild>
                <w:div w:id="10704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36487">
      <w:bodyDiv w:val="1"/>
      <w:marLeft w:val="0"/>
      <w:marRight w:val="0"/>
      <w:marTop w:val="0"/>
      <w:marBottom w:val="0"/>
      <w:divBdr>
        <w:top w:val="none" w:sz="0" w:space="0" w:color="auto"/>
        <w:left w:val="none" w:sz="0" w:space="0" w:color="auto"/>
        <w:bottom w:val="none" w:sz="0" w:space="0" w:color="auto"/>
        <w:right w:val="none" w:sz="0" w:space="0" w:color="auto"/>
      </w:divBdr>
      <w:divsChild>
        <w:div w:id="1514607351">
          <w:marLeft w:val="0"/>
          <w:marRight w:val="0"/>
          <w:marTop w:val="0"/>
          <w:marBottom w:val="0"/>
          <w:divBdr>
            <w:top w:val="none" w:sz="0" w:space="0" w:color="auto"/>
            <w:left w:val="none" w:sz="0" w:space="0" w:color="auto"/>
            <w:bottom w:val="none" w:sz="0" w:space="0" w:color="auto"/>
            <w:right w:val="none" w:sz="0" w:space="0" w:color="auto"/>
          </w:divBdr>
          <w:divsChild>
            <w:div w:id="1842815321">
              <w:marLeft w:val="0"/>
              <w:marRight w:val="0"/>
              <w:marTop w:val="0"/>
              <w:marBottom w:val="0"/>
              <w:divBdr>
                <w:top w:val="none" w:sz="0" w:space="0" w:color="auto"/>
                <w:left w:val="none" w:sz="0" w:space="0" w:color="auto"/>
                <w:bottom w:val="none" w:sz="0" w:space="0" w:color="auto"/>
                <w:right w:val="none" w:sz="0" w:space="0" w:color="auto"/>
              </w:divBdr>
              <w:divsChild>
                <w:div w:id="839661418">
                  <w:marLeft w:val="0"/>
                  <w:marRight w:val="0"/>
                  <w:marTop w:val="0"/>
                  <w:marBottom w:val="0"/>
                  <w:divBdr>
                    <w:top w:val="none" w:sz="0" w:space="0" w:color="auto"/>
                    <w:left w:val="none" w:sz="0" w:space="0" w:color="auto"/>
                    <w:bottom w:val="none" w:sz="0" w:space="0" w:color="auto"/>
                    <w:right w:val="none" w:sz="0" w:space="0" w:color="auto"/>
                  </w:divBdr>
                  <w:divsChild>
                    <w:div w:id="103812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17721">
      <w:bodyDiv w:val="1"/>
      <w:marLeft w:val="0"/>
      <w:marRight w:val="0"/>
      <w:marTop w:val="0"/>
      <w:marBottom w:val="0"/>
      <w:divBdr>
        <w:top w:val="none" w:sz="0" w:space="0" w:color="auto"/>
        <w:left w:val="none" w:sz="0" w:space="0" w:color="auto"/>
        <w:bottom w:val="none" w:sz="0" w:space="0" w:color="auto"/>
        <w:right w:val="none" w:sz="0" w:space="0" w:color="auto"/>
      </w:divBdr>
      <w:divsChild>
        <w:div w:id="1753896563">
          <w:marLeft w:val="0"/>
          <w:marRight w:val="0"/>
          <w:marTop w:val="0"/>
          <w:marBottom w:val="0"/>
          <w:divBdr>
            <w:top w:val="none" w:sz="0" w:space="0" w:color="auto"/>
            <w:left w:val="none" w:sz="0" w:space="0" w:color="auto"/>
            <w:bottom w:val="none" w:sz="0" w:space="0" w:color="auto"/>
            <w:right w:val="none" w:sz="0" w:space="0" w:color="auto"/>
          </w:divBdr>
          <w:divsChild>
            <w:div w:id="1210922277">
              <w:marLeft w:val="0"/>
              <w:marRight w:val="0"/>
              <w:marTop w:val="0"/>
              <w:marBottom w:val="0"/>
              <w:divBdr>
                <w:top w:val="none" w:sz="0" w:space="0" w:color="auto"/>
                <w:left w:val="none" w:sz="0" w:space="0" w:color="auto"/>
                <w:bottom w:val="none" w:sz="0" w:space="0" w:color="auto"/>
                <w:right w:val="none" w:sz="0" w:space="0" w:color="auto"/>
              </w:divBdr>
              <w:divsChild>
                <w:div w:id="15510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10934">
      <w:bodyDiv w:val="1"/>
      <w:marLeft w:val="0"/>
      <w:marRight w:val="0"/>
      <w:marTop w:val="0"/>
      <w:marBottom w:val="0"/>
      <w:divBdr>
        <w:top w:val="none" w:sz="0" w:space="0" w:color="auto"/>
        <w:left w:val="none" w:sz="0" w:space="0" w:color="auto"/>
        <w:bottom w:val="none" w:sz="0" w:space="0" w:color="auto"/>
        <w:right w:val="none" w:sz="0" w:space="0" w:color="auto"/>
      </w:divBdr>
    </w:div>
    <w:div w:id="386611035">
      <w:bodyDiv w:val="1"/>
      <w:marLeft w:val="0"/>
      <w:marRight w:val="0"/>
      <w:marTop w:val="0"/>
      <w:marBottom w:val="0"/>
      <w:divBdr>
        <w:top w:val="none" w:sz="0" w:space="0" w:color="auto"/>
        <w:left w:val="none" w:sz="0" w:space="0" w:color="auto"/>
        <w:bottom w:val="none" w:sz="0" w:space="0" w:color="auto"/>
        <w:right w:val="none" w:sz="0" w:space="0" w:color="auto"/>
      </w:divBdr>
      <w:divsChild>
        <w:div w:id="144401903">
          <w:marLeft w:val="0"/>
          <w:marRight w:val="0"/>
          <w:marTop w:val="0"/>
          <w:marBottom w:val="0"/>
          <w:divBdr>
            <w:top w:val="none" w:sz="0" w:space="0" w:color="auto"/>
            <w:left w:val="none" w:sz="0" w:space="0" w:color="auto"/>
            <w:bottom w:val="none" w:sz="0" w:space="0" w:color="auto"/>
            <w:right w:val="none" w:sz="0" w:space="0" w:color="auto"/>
          </w:divBdr>
          <w:divsChild>
            <w:div w:id="694229768">
              <w:marLeft w:val="0"/>
              <w:marRight w:val="0"/>
              <w:marTop w:val="0"/>
              <w:marBottom w:val="0"/>
              <w:divBdr>
                <w:top w:val="none" w:sz="0" w:space="0" w:color="auto"/>
                <w:left w:val="none" w:sz="0" w:space="0" w:color="auto"/>
                <w:bottom w:val="none" w:sz="0" w:space="0" w:color="auto"/>
                <w:right w:val="none" w:sz="0" w:space="0" w:color="auto"/>
              </w:divBdr>
              <w:divsChild>
                <w:div w:id="1165240023">
                  <w:marLeft w:val="0"/>
                  <w:marRight w:val="0"/>
                  <w:marTop w:val="0"/>
                  <w:marBottom w:val="0"/>
                  <w:divBdr>
                    <w:top w:val="none" w:sz="0" w:space="0" w:color="auto"/>
                    <w:left w:val="none" w:sz="0" w:space="0" w:color="auto"/>
                    <w:bottom w:val="none" w:sz="0" w:space="0" w:color="auto"/>
                    <w:right w:val="none" w:sz="0" w:space="0" w:color="auto"/>
                  </w:divBdr>
                  <w:divsChild>
                    <w:div w:id="12757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133695">
      <w:bodyDiv w:val="1"/>
      <w:marLeft w:val="0"/>
      <w:marRight w:val="0"/>
      <w:marTop w:val="0"/>
      <w:marBottom w:val="0"/>
      <w:divBdr>
        <w:top w:val="none" w:sz="0" w:space="0" w:color="auto"/>
        <w:left w:val="none" w:sz="0" w:space="0" w:color="auto"/>
        <w:bottom w:val="none" w:sz="0" w:space="0" w:color="auto"/>
        <w:right w:val="none" w:sz="0" w:space="0" w:color="auto"/>
      </w:divBdr>
      <w:divsChild>
        <w:div w:id="1755855259">
          <w:marLeft w:val="0"/>
          <w:marRight w:val="0"/>
          <w:marTop w:val="0"/>
          <w:marBottom w:val="0"/>
          <w:divBdr>
            <w:top w:val="none" w:sz="0" w:space="0" w:color="auto"/>
            <w:left w:val="none" w:sz="0" w:space="0" w:color="auto"/>
            <w:bottom w:val="none" w:sz="0" w:space="0" w:color="auto"/>
            <w:right w:val="none" w:sz="0" w:space="0" w:color="auto"/>
          </w:divBdr>
          <w:divsChild>
            <w:div w:id="1680810389">
              <w:marLeft w:val="-225"/>
              <w:marRight w:val="-225"/>
              <w:marTop w:val="0"/>
              <w:marBottom w:val="0"/>
              <w:divBdr>
                <w:top w:val="none" w:sz="0" w:space="0" w:color="auto"/>
                <w:left w:val="none" w:sz="0" w:space="0" w:color="auto"/>
                <w:bottom w:val="none" w:sz="0" w:space="0" w:color="auto"/>
                <w:right w:val="none" w:sz="0" w:space="0" w:color="auto"/>
              </w:divBdr>
              <w:divsChild>
                <w:div w:id="197591736">
                  <w:marLeft w:val="0"/>
                  <w:marRight w:val="0"/>
                  <w:marTop w:val="0"/>
                  <w:marBottom w:val="0"/>
                  <w:divBdr>
                    <w:top w:val="none" w:sz="0" w:space="0" w:color="auto"/>
                    <w:left w:val="none" w:sz="0" w:space="0" w:color="auto"/>
                    <w:bottom w:val="none" w:sz="0" w:space="0" w:color="auto"/>
                    <w:right w:val="none" w:sz="0" w:space="0" w:color="auto"/>
                  </w:divBdr>
                  <w:divsChild>
                    <w:div w:id="1795059256">
                      <w:marLeft w:val="0"/>
                      <w:marRight w:val="0"/>
                      <w:marTop w:val="0"/>
                      <w:marBottom w:val="0"/>
                      <w:divBdr>
                        <w:top w:val="none" w:sz="0" w:space="0" w:color="auto"/>
                        <w:left w:val="none" w:sz="0" w:space="0" w:color="auto"/>
                        <w:bottom w:val="none" w:sz="0" w:space="0" w:color="auto"/>
                        <w:right w:val="none" w:sz="0" w:space="0" w:color="auto"/>
                      </w:divBdr>
                      <w:divsChild>
                        <w:div w:id="25374489">
                          <w:marLeft w:val="0"/>
                          <w:marRight w:val="0"/>
                          <w:marTop w:val="0"/>
                          <w:marBottom w:val="0"/>
                          <w:divBdr>
                            <w:top w:val="none" w:sz="0" w:space="0" w:color="auto"/>
                            <w:left w:val="none" w:sz="0" w:space="0" w:color="auto"/>
                            <w:bottom w:val="none" w:sz="0" w:space="0" w:color="auto"/>
                            <w:right w:val="none" w:sz="0" w:space="0" w:color="auto"/>
                          </w:divBdr>
                          <w:divsChild>
                            <w:div w:id="402870498">
                              <w:marLeft w:val="0"/>
                              <w:marRight w:val="0"/>
                              <w:marTop w:val="0"/>
                              <w:marBottom w:val="0"/>
                              <w:divBdr>
                                <w:top w:val="none" w:sz="0" w:space="0" w:color="auto"/>
                                <w:left w:val="none" w:sz="0" w:space="0" w:color="auto"/>
                                <w:bottom w:val="none" w:sz="0" w:space="0" w:color="auto"/>
                                <w:right w:val="none" w:sz="0" w:space="0" w:color="auto"/>
                              </w:divBdr>
                              <w:divsChild>
                                <w:div w:id="17511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361186">
      <w:bodyDiv w:val="1"/>
      <w:marLeft w:val="0"/>
      <w:marRight w:val="0"/>
      <w:marTop w:val="0"/>
      <w:marBottom w:val="0"/>
      <w:divBdr>
        <w:top w:val="none" w:sz="0" w:space="0" w:color="auto"/>
        <w:left w:val="none" w:sz="0" w:space="0" w:color="auto"/>
        <w:bottom w:val="none" w:sz="0" w:space="0" w:color="auto"/>
        <w:right w:val="none" w:sz="0" w:space="0" w:color="auto"/>
      </w:divBdr>
    </w:div>
    <w:div w:id="442112078">
      <w:bodyDiv w:val="1"/>
      <w:marLeft w:val="0"/>
      <w:marRight w:val="0"/>
      <w:marTop w:val="0"/>
      <w:marBottom w:val="0"/>
      <w:divBdr>
        <w:top w:val="none" w:sz="0" w:space="0" w:color="auto"/>
        <w:left w:val="none" w:sz="0" w:space="0" w:color="auto"/>
        <w:bottom w:val="none" w:sz="0" w:space="0" w:color="auto"/>
        <w:right w:val="none" w:sz="0" w:space="0" w:color="auto"/>
      </w:divBdr>
      <w:divsChild>
        <w:div w:id="1753235911">
          <w:marLeft w:val="0"/>
          <w:marRight w:val="0"/>
          <w:marTop w:val="0"/>
          <w:marBottom w:val="0"/>
          <w:divBdr>
            <w:top w:val="none" w:sz="0" w:space="0" w:color="auto"/>
            <w:left w:val="none" w:sz="0" w:space="0" w:color="auto"/>
            <w:bottom w:val="none" w:sz="0" w:space="0" w:color="auto"/>
            <w:right w:val="none" w:sz="0" w:space="0" w:color="auto"/>
          </w:divBdr>
          <w:divsChild>
            <w:div w:id="1948853023">
              <w:marLeft w:val="0"/>
              <w:marRight w:val="0"/>
              <w:marTop w:val="0"/>
              <w:marBottom w:val="0"/>
              <w:divBdr>
                <w:top w:val="none" w:sz="0" w:space="0" w:color="auto"/>
                <w:left w:val="none" w:sz="0" w:space="0" w:color="auto"/>
                <w:bottom w:val="none" w:sz="0" w:space="0" w:color="auto"/>
                <w:right w:val="none" w:sz="0" w:space="0" w:color="auto"/>
              </w:divBdr>
              <w:divsChild>
                <w:div w:id="764886911">
                  <w:marLeft w:val="0"/>
                  <w:marRight w:val="0"/>
                  <w:marTop w:val="0"/>
                  <w:marBottom w:val="0"/>
                  <w:divBdr>
                    <w:top w:val="none" w:sz="0" w:space="0" w:color="auto"/>
                    <w:left w:val="none" w:sz="0" w:space="0" w:color="auto"/>
                    <w:bottom w:val="none" w:sz="0" w:space="0" w:color="auto"/>
                    <w:right w:val="none" w:sz="0" w:space="0" w:color="auto"/>
                  </w:divBdr>
                  <w:divsChild>
                    <w:div w:id="3959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558761">
      <w:bodyDiv w:val="1"/>
      <w:marLeft w:val="0"/>
      <w:marRight w:val="0"/>
      <w:marTop w:val="0"/>
      <w:marBottom w:val="0"/>
      <w:divBdr>
        <w:top w:val="none" w:sz="0" w:space="0" w:color="auto"/>
        <w:left w:val="none" w:sz="0" w:space="0" w:color="auto"/>
        <w:bottom w:val="none" w:sz="0" w:space="0" w:color="auto"/>
        <w:right w:val="none" w:sz="0" w:space="0" w:color="auto"/>
      </w:divBdr>
      <w:divsChild>
        <w:div w:id="227805382">
          <w:marLeft w:val="0"/>
          <w:marRight w:val="0"/>
          <w:marTop w:val="0"/>
          <w:marBottom w:val="0"/>
          <w:divBdr>
            <w:top w:val="none" w:sz="0" w:space="0" w:color="auto"/>
            <w:left w:val="none" w:sz="0" w:space="0" w:color="auto"/>
            <w:bottom w:val="none" w:sz="0" w:space="0" w:color="auto"/>
            <w:right w:val="none" w:sz="0" w:space="0" w:color="auto"/>
          </w:divBdr>
          <w:divsChild>
            <w:div w:id="1462460273">
              <w:marLeft w:val="0"/>
              <w:marRight w:val="0"/>
              <w:marTop w:val="0"/>
              <w:marBottom w:val="0"/>
              <w:divBdr>
                <w:top w:val="none" w:sz="0" w:space="0" w:color="auto"/>
                <w:left w:val="none" w:sz="0" w:space="0" w:color="auto"/>
                <w:bottom w:val="none" w:sz="0" w:space="0" w:color="auto"/>
                <w:right w:val="none" w:sz="0" w:space="0" w:color="auto"/>
              </w:divBdr>
              <w:divsChild>
                <w:div w:id="18382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0975">
      <w:bodyDiv w:val="1"/>
      <w:marLeft w:val="0"/>
      <w:marRight w:val="0"/>
      <w:marTop w:val="0"/>
      <w:marBottom w:val="0"/>
      <w:divBdr>
        <w:top w:val="none" w:sz="0" w:space="0" w:color="auto"/>
        <w:left w:val="none" w:sz="0" w:space="0" w:color="auto"/>
        <w:bottom w:val="none" w:sz="0" w:space="0" w:color="auto"/>
        <w:right w:val="none" w:sz="0" w:space="0" w:color="auto"/>
      </w:divBdr>
      <w:divsChild>
        <w:div w:id="531461799">
          <w:marLeft w:val="274"/>
          <w:marRight w:val="0"/>
          <w:marTop w:val="0"/>
          <w:marBottom w:val="0"/>
          <w:divBdr>
            <w:top w:val="none" w:sz="0" w:space="0" w:color="auto"/>
            <w:left w:val="none" w:sz="0" w:space="0" w:color="auto"/>
            <w:bottom w:val="none" w:sz="0" w:space="0" w:color="auto"/>
            <w:right w:val="none" w:sz="0" w:space="0" w:color="auto"/>
          </w:divBdr>
        </w:div>
        <w:div w:id="1105733678">
          <w:marLeft w:val="274"/>
          <w:marRight w:val="0"/>
          <w:marTop w:val="0"/>
          <w:marBottom w:val="0"/>
          <w:divBdr>
            <w:top w:val="none" w:sz="0" w:space="0" w:color="auto"/>
            <w:left w:val="none" w:sz="0" w:space="0" w:color="auto"/>
            <w:bottom w:val="none" w:sz="0" w:space="0" w:color="auto"/>
            <w:right w:val="none" w:sz="0" w:space="0" w:color="auto"/>
          </w:divBdr>
        </w:div>
        <w:div w:id="1108039281">
          <w:marLeft w:val="274"/>
          <w:marRight w:val="0"/>
          <w:marTop w:val="0"/>
          <w:marBottom w:val="0"/>
          <w:divBdr>
            <w:top w:val="none" w:sz="0" w:space="0" w:color="auto"/>
            <w:left w:val="none" w:sz="0" w:space="0" w:color="auto"/>
            <w:bottom w:val="none" w:sz="0" w:space="0" w:color="auto"/>
            <w:right w:val="none" w:sz="0" w:space="0" w:color="auto"/>
          </w:divBdr>
        </w:div>
        <w:div w:id="1156263810">
          <w:marLeft w:val="274"/>
          <w:marRight w:val="0"/>
          <w:marTop w:val="0"/>
          <w:marBottom w:val="0"/>
          <w:divBdr>
            <w:top w:val="none" w:sz="0" w:space="0" w:color="auto"/>
            <w:left w:val="none" w:sz="0" w:space="0" w:color="auto"/>
            <w:bottom w:val="none" w:sz="0" w:space="0" w:color="auto"/>
            <w:right w:val="none" w:sz="0" w:space="0" w:color="auto"/>
          </w:divBdr>
        </w:div>
      </w:divsChild>
    </w:div>
    <w:div w:id="541476498">
      <w:bodyDiv w:val="1"/>
      <w:marLeft w:val="0"/>
      <w:marRight w:val="0"/>
      <w:marTop w:val="0"/>
      <w:marBottom w:val="0"/>
      <w:divBdr>
        <w:top w:val="none" w:sz="0" w:space="0" w:color="auto"/>
        <w:left w:val="none" w:sz="0" w:space="0" w:color="auto"/>
        <w:bottom w:val="none" w:sz="0" w:space="0" w:color="auto"/>
        <w:right w:val="none" w:sz="0" w:space="0" w:color="auto"/>
      </w:divBdr>
      <w:divsChild>
        <w:div w:id="605894601">
          <w:marLeft w:val="0"/>
          <w:marRight w:val="0"/>
          <w:marTop w:val="0"/>
          <w:marBottom w:val="0"/>
          <w:divBdr>
            <w:top w:val="none" w:sz="0" w:space="0" w:color="auto"/>
            <w:left w:val="none" w:sz="0" w:space="0" w:color="auto"/>
            <w:bottom w:val="none" w:sz="0" w:space="0" w:color="auto"/>
            <w:right w:val="none" w:sz="0" w:space="0" w:color="auto"/>
          </w:divBdr>
          <w:divsChild>
            <w:div w:id="33896656">
              <w:marLeft w:val="0"/>
              <w:marRight w:val="0"/>
              <w:marTop w:val="0"/>
              <w:marBottom w:val="0"/>
              <w:divBdr>
                <w:top w:val="none" w:sz="0" w:space="0" w:color="auto"/>
                <w:left w:val="none" w:sz="0" w:space="0" w:color="auto"/>
                <w:bottom w:val="none" w:sz="0" w:space="0" w:color="auto"/>
                <w:right w:val="none" w:sz="0" w:space="0" w:color="auto"/>
              </w:divBdr>
              <w:divsChild>
                <w:div w:id="107836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91094">
      <w:bodyDiv w:val="1"/>
      <w:marLeft w:val="0"/>
      <w:marRight w:val="0"/>
      <w:marTop w:val="0"/>
      <w:marBottom w:val="0"/>
      <w:divBdr>
        <w:top w:val="none" w:sz="0" w:space="0" w:color="auto"/>
        <w:left w:val="none" w:sz="0" w:space="0" w:color="auto"/>
        <w:bottom w:val="none" w:sz="0" w:space="0" w:color="auto"/>
        <w:right w:val="none" w:sz="0" w:space="0" w:color="auto"/>
      </w:divBdr>
    </w:div>
    <w:div w:id="591202336">
      <w:bodyDiv w:val="1"/>
      <w:marLeft w:val="0"/>
      <w:marRight w:val="0"/>
      <w:marTop w:val="0"/>
      <w:marBottom w:val="0"/>
      <w:divBdr>
        <w:top w:val="none" w:sz="0" w:space="0" w:color="auto"/>
        <w:left w:val="none" w:sz="0" w:space="0" w:color="auto"/>
        <w:bottom w:val="none" w:sz="0" w:space="0" w:color="auto"/>
        <w:right w:val="none" w:sz="0" w:space="0" w:color="auto"/>
      </w:divBdr>
      <w:divsChild>
        <w:div w:id="1172640460">
          <w:marLeft w:val="0"/>
          <w:marRight w:val="0"/>
          <w:marTop w:val="0"/>
          <w:marBottom w:val="0"/>
          <w:divBdr>
            <w:top w:val="none" w:sz="0" w:space="0" w:color="auto"/>
            <w:left w:val="none" w:sz="0" w:space="0" w:color="auto"/>
            <w:bottom w:val="none" w:sz="0" w:space="0" w:color="auto"/>
            <w:right w:val="none" w:sz="0" w:space="0" w:color="auto"/>
          </w:divBdr>
          <w:divsChild>
            <w:div w:id="1112360940">
              <w:marLeft w:val="0"/>
              <w:marRight w:val="0"/>
              <w:marTop w:val="0"/>
              <w:marBottom w:val="0"/>
              <w:divBdr>
                <w:top w:val="none" w:sz="0" w:space="0" w:color="auto"/>
                <w:left w:val="none" w:sz="0" w:space="0" w:color="auto"/>
                <w:bottom w:val="none" w:sz="0" w:space="0" w:color="auto"/>
                <w:right w:val="none" w:sz="0" w:space="0" w:color="auto"/>
              </w:divBdr>
              <w:divsChild>
                <w:div w:id="377356937">
                  <w:marLeft w:val="0"/>
                  <w:marRight w:val="0"/>
                  <w:marTop w:val="0"/>
                  <w:marBottom w:val="0"/>
                  <w:divBdr>
                    <w:top w:val="none" w:sz="0" w:space="0" w:color="auto"/>
                    <w:left w:val="none" w:sz="0" w:space="0" w:color="auto"/>
                    <w:bottom w:val="none" w:sz="0" w:space="0" w:color="auto"/>
                    <w:right w:val="none" w:sz="0" w:space="0" w:color="auto"/>
                  </w:divBdr>
                  <w:divsChild>
                    <w:div w:id="60674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468461">
      <w:bodyDiv w:val="1"/>
      <w:marLeft w:val="0"/>
      <w:marRight w:val="0"/>
      <w:marTop w:val="0"/>
      <w:marBottom w:val="0"/>
      <w:divBdr>
        <w:top w:val="none" w:sz="0" w:space="0" w:color="auto"/>
        <w:left w:val="none" w:sz="0" w:space="0" w:color="auto"/>
        <w:bottom w:val="none" w:sz="0" w:space="0" w:color="auto"/>
        <w:right w:val="none" w:sz="0" w:space="0" w:color="auto"/>
      </w:divBdr>
      <w:divsChild>
        <w:div w:id="1039277456">
          <w:marLeft w:val="0"/>
          <w:marRight w:val="0"/>
          <w:marTop w:val="0"/>
          <w:marBottom w:val="0"/>
          <w:divBdr>
            <w:top w:val="none" w:sz="0" w:space="0" w:color="auto"/>
            <w:left w:val="none" w:sz="0" w:space="0" w:color="auto"/>
            <w:bottom w:val="none" w:sz="0" w:space="0" w:color="auto"/>
            <w:right w:val="none" w:sz="0" w:space="0" w:color="auto"/>
          </w:divBdr>
          <w:divsChild>
            <w:div w:id="128213027">
              <w:marLeft w:val="0"/>
              <w:marRight w:val="0"/>
              <w:marTop w:val="0"/>
              <w:marBottom w:val="0"/>
              <w:divBdr>
                <w:top w:val="none" w:sz="0" w:space="0" w:color="auto"/>
                <w:left w:val="none" w:sz="0" w:space="0" w:color="auto"/>
                <w:bottom w:val="none" w:sz="0" w:space="0" w:color="auto"/>
                <w:right w:val="none" w:sz="0" w:space="0" w:color="auto"/>
              </w:divBdr>
              <w:divsChild>
                <w:div w:id="1773357999">
                  <w:marLeft w:val="0"/>
                  <w:marRight w:val="0"/>
                  <w:marTop w:val="0"/>
                  <w:marBottom w:val="0"/>
                  <w:divBdr>
                    <w:top w:val="none" w:sz="0" w:space="0" w:color="auto"/>
                    <w:left w:val="none" w:sz="0" w:space="0" w:color="auto"/>
                    <w:bottom w:val="none" w:sz="0" w:space="0" w:color="auto"/>
                    <w:right w:val="none" w:sz="0" w:space="0" w:color="auto"/>
                  </w:divBdr>
                  <w:divsChild>
                    <w:div w:id="20233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3937">
      <w:bodyDiv w:val="1"/>
      <w:marLeft w:val="0"/>
      <w:marRight w:val="0"/>
      <w:marTop w:val="0"/>
      <w:marBottom w:val="0"/>
      <w:divBdr>
        <w:top w:val="none" w:sz="0" w:space="0" w:color="auto"/>
        <w:left w:val="none" w:sz="0" w:space="0" w:color="auto"/>
        <w:bottom w:val="none" w:sz="0" w:space="0" w:color="auto"/>
        <w:right w:val="none" w:sz="0" w:space="0" w:color="auto"/>
      </w:divBdr>
      <w:divsChild>
        <w:div w:id="1424298563">
          <w:marLeft w:val="0"/>
          <w:marRight w:val="0"/>
          <w:marTop w:val="0"/>
          <w:marBottom w:val="0"/>
          <w:divBdr>
            <w:top w:val="none" w:sz="0" w:space="0" w:color="auto"/>
            <w:left w:val="none" w:sz="0" w:space="0" w:color="auto"/>
            <w:bottom w:val="none" w:sz="0" w:space="0" w:color="auto"/>
            <w:right w:val="none" w:sz="0" w:space="0" w:color="auto"/>
          </w:divBdr>
          <w:divsChild>
            <w:div w:id="1114519428">
              <w:marLeft w:val="0"/>
              <w:marRight w:val="0"/>
              <w:marTop w:val="0"/>
              <w:marBottom w:val="0"/>
              <w:divBdr>
                <w:top w:val="none" w:sz="0" w:space="0" w:color="auto"/>
                <w:left w:val="none" w:sz="0" w:space="0" w:color="auto"/>
                <w:bottom w:val="none" w:sz="0" w:space="0" w:color="auto"/>
                <w:right w:val="none" w:sz="0" w:space="0" w:color="auto"/>
              </w:divBdr>
              <w:divsChild>
                <w:div w:id="777525088">
                  <w:marLeft w:val="0"/>
                  <w:marRight w:val="0"/>
                  <w:marTop w:val="0"/>
                  <w:marBottom w:val="0"/>
                  <w:divBdr>
                    <w:top w:val="none" w:sz="0" w:space="0" w:color="auto"/>
                    <w:left w:val="none" w:sz="0" w:space="0" w:color="auto"/>
                    <w:bottom w:val="none" w:sz="0" w:space="0" w:color="auto"/>
                    <w:right w:val="none" w:sz="0" w:space="0" w:color="auto"/>
                  </w:divBdr>
                  <w:divsChild>
                    <w:div w:id="9683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469542">
      <w:bodyDiv w:val="1"/>
      <w:marLeft w:val="0"/>
      <w:marRight w:val="0"/>
      <w:marTop w:val="0"/>
      <w:marBottom w:val="0"/>
      <w:divBdr>
        <w:top w:val="none" w:sz="0" w:space="0" w:color="auto"/>
        <w:left w:val="none" w:sz="0" w:space="0" w:color="auto"/>
        <w:bottom w:val="none" w:sz="0" w:space="0" w:color="auto"/>
        <w:right w:val="none" w:sz="0" w:space="0" w:color="auto"/>
      </w:divBdr>
      <w:divsChild>
        <w:div w:id="504244821">
          <w:marLeft w:val="0"/>
          <w:marRight w:val="0"/>
          <w:marTop w:val="0"/>
          <w:marBottom w:val="0"/>
          <w:divBdr>
            <w:top w:val="none" w:sz="0" w:space="0" w:color="auto"/>
            <w:left w:val="none" w:sz="0" w:space="0" w:color="auto"/>
            <w:bottom w:val="none" w:sz="0" w:space="0" w:color="auto"/>
            <w:right w:val="none" w:sz="0" w:space="0" w:color="auto"/>
          </w:divBdr>
          <w:divsChild>
            <w:div w:id="1483810933">
              <w:marLeft w:val="0"/>
              <w:marRight w:val="0"/>
              <w:marTop w:val="0"/>
              <w:marBottom w:val="0"/>
              <w:divBdr>
                <w:top w:val="none" w:sz="0" w:space="0" w:color="auto"/>
                <w:left w:val="none" w:sz="0" w:space="0" w:color="auto"/>
                <w:bottom w:val="none" w:sz="0" w:space="0" w:color="auto"/>
                <w:right w:val="none" w:sz="0" w:space="0" w:color="auto"/>
              </w:divBdr>
              <w:divsChild>
                <w:div w:id="5535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5524">
      <w:bodyDiv w:val="1"/>
      <w:marLeft w:val="0"/>
      <w:marRight w:val="0"/>
      <w:marTop w:val="0"/>
      <w:marBottom w:val="0"/>
      <w:divBdr>
        <w:top w:val="none" w:sz="0" w:space="0" w:color="auto"/>
        <w:left w:val="none" w:sz="0" w:space="0" w:color="auto"/>
        <w:bottom w:val="none" w:sz="0" w:space="0" w:color="auto"/>
        <w:right w:val="none" w:sz="0" w:space="0" w:color="auto"/>
      </w:divBdr>
    </w:div>
    <w:div w:id="662776160">
      <w:bodyDiv w:val="1"/>
      <w:marLeft w:val="0"/>
      <w:marRight w:val="0"/>
      <w:marTop w:val="0"/>
      <w:marBottom w:val="0"/>
      <w:divBdr>
        <w:top w:val="none" w:sz="0" w:space="0" w:color="auto"/>
        <w:left w:val="none" w:sz="0" w:space="0" w:color="auto"/>
        <w:bottom w:val="none" w:sz="0" w:space="0" w:color="auto"/>
        <w:right w:val="none" w:sz="0" w:space="0" w:color="auto"/>
      </w:divBdr>
    </w:div>
    <w:div w:id="677460934">
      <w:bodyDiv w:val="1"/>
      <w:marLeft w:val="0"/>
      <w:marRight w:val="0"/>
      <w:marTop w:val="0"/>
      <w:marBottom w:val="0"/>
      <w:divBdr>
        <w:top w:val="none" w:sz="0" w:space="0" w:color="auto"/>
        <w:left w:val="none" w:sz="0" w:space="0" w:color="auto"/>
        <w:bottom w:val="none" w:sz="0" w:space="0" w:color="auto"/>
        <w:right w:val="none" w:sz="0" w:space="0" w:color="auto"/>
      </w:divBdr>
      <w:divsChild>
        <w:div w:id="1410275461">
          <w:marLeft w:val="0"/>
          <w:marRight w:val="0"/>
          <w:marTop w:val="0"/>
          <w:marBottom w:val="0"/>
          <w:divBdr>
            <w:top w:val="none" w:sz="0" w:space="0" w:color="auto"/>
            <w:left w:val="none" w:sz="0" w:space="0" w:color="auto"/>
            <w:bottom w:val="none" w:sz="0" w:space="0" w:color="auto"/>
            <w:right w:val="none" w:sz="0" w:space="0" w:color="auto"/>
          </w:divBdr>
          <w:divsChild>
            <w:div w:id="373309540">
              <w:marLeft w:val="0"/>
              <w:marRight w:val="0"/>
              <w:marTop w:val="0"/>
              <w:marBottom w:val="0"/>
              <w:divBdr>
                <w:top w:val="none" w:sz="0" w:space="0" w:color="auto"/>
                <w:left w:val="none" w:sz="0" w:space="0" w:color="auto"/>
                <w:bottom w:val="none" w:sz="0" w:space="0" w:color="auto"/>
                <w:right w:val="none" w:sz="0" w:space="0" w:color="auto"/>
              </w:divBdr>
              <w:divsChild>
                <w:div w:id="17242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12058">
      <w:bodyDiv w:val="1"/>
      <w:marLeft w:val="0"/>
      <w:marRight w:val="0"/>
      <w:marTop w:val="0"/>
      <w:marBottom w:val="0"/>
      <w:divBdr>
        <w:top w:val="none" w:sz="0" w:space="0" w:color="auto"/>
        <w:left w:val="none" w:sz="0" w:space="0" w:color="auto"/>
        <w:bottom w:val="none" w:sz="0" w:space="0" w:color="auto"/>
        <w:right w:val="none" w:sz="0" w:space="0" w:color="auto"/>
      </w:divBdr>
      <w:divsChild>
        <w:div w:id="403258967">
          <w:marLeft w:val="0"/>
          <w:marRight w:val="0"/>
          <w:marTop w:val="0"/>
          <w:marBottom w:val="0"/>
          <w:divBdr>
            <w:top w:val="none" w:sz="0" w:space="0" w:color="auto"/>
            <w:left w:val="none" w:sz="0" w:space="0" w:color="auto"/>
            <w:bottom w:val="none" w:sz="0" w:space="0" w:color="auto"/>
            <w:right w:val="none" w:sz="0" w:space="0" w:color="auto"/>
          </w:divBdr>
          <w:divsChild>
            <w:div w:id="764695021">
              <w:marLeft w:val="0"/>
              <w:marRight w:val="0"/>
              <w:marTop w:val="0"/>
              <w:marBottom w:val="0"/>
              <w:divBdr>
                <w:top w:val="none" w:sz="0" w:space="0" w:color="auto"/>
                <w:left w:val="none" w:sz="0" w:space="0" w:color="auto"/>
                <w:bottom w:val="none" w:sz="0" w:space="0" w:color="auto"/>
                <w:right w:val="none" w:sz="0" w:space="0" w:color="auto"/>
              </w:divBdr>
              <w:divsChild>
                <w:div w:id="998733940">
                  <w:marLeft w:val="0"/>
                  <w:marRight w:val="0"/>
                  <w:marTop w:val="0"/>
                  <w:marBottom w:val="0"/>
                  <w:divBdr>
                    <w:top w:val="none" w:sz="0" w:space="0" w:color="auto"/>
                    <w:left w:val="none" w:sz="0" w:space="0" w:color="auto"/>
                    <w:bottom w:val="none" w:sz="0" w:space="0" w:color="auto"/>
                    <w:right w:val="none" w:sz="0" w:space="0" w:color="auto"/>
                  </w:divBdr>
                  <w:divsChild>
                    <w:div w:id="18091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010">
      <w:bodyDiv w:val="1"/>
      <w:marLeft w:val="0"/>
      <w:marRight w:val="0"/>
      <w:marTop w:val="0"/>
      <w:marBottom w:val="0"/>
      <w:divBdr>
        <w:top w:val="none" w:sz="0" w:space="0" w:color="auto"/>
        <w:left w:val="none" w:sz="0" w:space="0" w:color="auto"/>
        <w:bottom w:val="none" w:sz="0" w:space="0" w:color="auto"/>
        <w:right w:val="none" w:sz="0" w:space="0" w:color="auto"/>
      </w:divBdr>
      <w:divsChild>
        <w:div w:id="1968388268">
          <w:marLeft w:val="0"/>
          <w:marRight w:val="0"/>
          <w:marTop w:val="0"/>
          <w:marBottom w:val="0"/>
          <w:divBdr>
            <w:top w:val="none" w:sz="0" w:space="0" w:color="auto"/>
            <w:left w:val="none" w:sz="0" w:space="0" w:color="auto"/>
            <w:bottom w:val="none" w:sz="0" w:space="0" w:color="auto"/>
            <w:right w:val="none" w:sz="0" w:space="0" w:color="auto"/>
          </w:divBdr>
          <w:divsChild>
            <w:div w:id="1939294163">
              <w:marLeft w:val="0"/>
              <w:marRight w:val="0"/>
              <w:marTop w:val="0"/>
              <w:marBottom w:val="0"/>
              <w:divBdr>
                <w:top w:val="none" w:sz="0" w:space="0" w:color="auto"/>
                <w:left w:val="none" w:sz="0" w:space="0" w:color="auto"/>
                <w:bottom w:val="none" w:sz="0" w:space="0" w:color="auto"/>
                <w:right w:val="none" w:sz="0" w:space="0" w:color="auto"/>
              </w:divBdr>
              <w:divsChild>
                <w:div w:id="120849094">
                  <w:marLeft w:val="0"/>
                  <w:marRight w:val="0"/>
                  <w:marTop w:val="0"/>
                  <w:marBottom w:val="0"/>
                  <w:divBdr>
                    <w:top w:val="none" w:sz="0" w:space="0" w:color="auto"/>
                    <w:left w:val="none" w:sz="0" w:space="0" w:color="auto"/>
                    <w:bottom w:val="none" w:sz="0" w:space="0" w:color="auto"/>
                    <w:right w:val="none" w:sz="0" w:space="0" w:color="auto"/>
                  </w:divBdr>
                  <w:divsChild>
                    <w:div w:id="571158181">
                      <w:marLeft w:val="0"/>
                      <w:marRight w:val="0"/>
                      <w:marTop w:val="0"/>
                      <w:marBottom w:val="0"/>
                      <w:divBdr>
                        <w:top w:val="none" w:sz="0" w:space="0" w:color="auto"/>
                        <w:left w:val="none" w:sz="0" w:space="0" w:color="auto"/>
                        <w:bottom w:val="none" w:sz="0" w:space="0" w:color="auto"/>
                        <w:right w:val="none" w:sz="0" w:space="0" w:color="auto"/>
                      </w:divBdr>
                      <w:divsChild>
                        <w:div w:id="1115907754">
                          <w:marLeft w:val="0"/>
                          <w:marRight w:val="0"/>
                          <w:marTop w:val="0"/>
                          <w:marBottom w:val="0"/>
                          <w:divBdr>
                            <w:top w:val="none" w:sz="0" w:space="0" w:color="auto"/>
                            <w:left w:val="none" w:sz="0" w:space="0" w:color="auto"/>
                            <w:bottom w:val="none" w:sz="0" w:space="0" w:color="auto"/>
                            <w:right w:val="none" w:sz="0" w:space="0" w:color="auto"/>
                          </w:divBdr>
                          <w:divsChild>
                            <w:div w:id="1218975804">
                              <w:marLeft w:val="0"/>
                              <w:marRight w:val="0"/>
                              <w:marTop w:val="0"/>
                              <w:marBottom w:val="0"/>
                              <w:divBdr>
                                <w:top w:val="none" w:sz="0" w:space="0" w:color="auto"/>
                                <w:left w:val="none" w:sz="0" w:space="0" w:color="auto"/>
                                <w:bottom w:val="none" w:sz="0" w:space="0" w:color="auto"/>
                                <w:right w:val="none" w:sz="0" w:space="0" w:color="auto"/>
                              </w:divBdr>
                              <w:divsChild>
                                <w:div w:id="1210611465">
                                  <w:marLeft w:val="0"/>
                                  <w:marRight w:val="0"/>
                                  <w:marTop w:val="0"/>
                                  <w:marBottom w:val="0"/>
                                  <w:divBdr>
                                    <w:top w:val="none" w:sz="0" w:space="0" w:color="auto"/>
                                    <w:left w:val="none" w:sz="0" w:space="0" w:color="auto"/>
                                    <w:bottom w:val="none" w:sz="0" w:space="0" w:color="auto"/>
                                    <w:right w:val="none" w:sz="0" w:space="0" w:color="auto"/>
                                  </w:divBdr>
                                  <w:divsChild>
                                    <w:div w:id="395109">
                                      <w:marLeft w:val="0"/>
                                      <w:marRight w:val="0"/>
                                      <w:marTop w:val="100"/>
                                      <w:marBottom w:val="100"/>
                                      <w:divBdr>
                                        <w:top w:val="none" w:sz="0" w:space="0" w:color="auto"/>
                                        <w:left w:val="none" w:sz="0" w:space="0" w:color="auto"/>
                                        <w:bottom w:val="none" w:sz="0" w:space="0" w:color="auto"/>
                                        <w:right w:val="none" w:sz="0" w:space="0" w:color="auto"/>
                                      </w:divBdr>
                                      <w:divsChild>
                                        <w:div w:id="372313753">
                                          <w:marLeft w:val="0"/>
                                          <w:marRight w:val="0"/>
                                          <w:marTop w:val="0"/>
                                          <w:marBottom w:val="0"/>
                                          <w:divBdr>
                                            <w:top w:val="none" w:sz="0" w:space="0" w:color="auto"/>
                                            <w:left w:val="none" w:sz="0" w:space="0" w:color="auto"/>
                                            <w:bottom w:val="none" w:sz="0" w:space="0" w:color="auto"/>
                                            <w:right w:val="none" w:sz="0" w:space="0" w:color="auto"/>
                                          </w:divBdr>
                                          <w:divsChild>
                                            <w:div w:id="1909147280">
                                              <w:marLeft w:val="0"/>
                                              <w:marRight w:val="0"/>
                                              <w:marTop w:val="0"/>
                                              <w:marBottom w:val="0"/>
                                              <w:divBdr>
                                                <w:top w:val="none" w:sz="0" w:space="0" w:color="auto"/>
                                                <w:left w:val="none" w:sz="0" w:space="0" w:color="auto"/>
                                                <w:bottom w:val="none" w:sz="0" w:space="0" w:color="auto"/>
                                                <w:right w:val="none" w:sz="0" w:space="0" w:color="auto"/>
                                              </w:divBdr>
                                              <w:divsChild>
                                                <w:div w:id="20009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032784">
      <w:bodyDiv w:val="1"/>
      <w:marLeft w:val="0"/>
      <w:marRight w:val="0"/>
      <w:marTop w:val="0"/>
      <w:marBottom w:val="0"/>
      <w:divBdr>
        <w:top w:val="none" w:sz="0" w:space="0" w:color="auto"/>
        <w:left w:val="none" w:sz="0" w:space="0" w:color="auto"/>
        <w:bottom w:val="none" w:sz="0" w:space="0" w:color="auto"/>
        <w:right w:val="none" w:sz="0" w:space="0" w:color="auto"/>
      </w:divBdr>
      <w:divsChild>
        <w:div w:id="1081559103">
          <w:marLeft w:val="0"/>
          <w:marRight w:val="0"/>
          <w:marTop w:val="0"/>
          <w:marBottom w:val="0"/>
          <w:divBdr>
            <w:top w:val="none" w:sz="0" w:space="0" w:color="auto"/>
            <w:left w:val="none" w:sz="0" w:space="0" w:color="auto"/>
            <w:bottom w:val="none" w:sz="0" w:space="0" w:color="auto"/>
            <w:right w:val="none" w:sz="0" w:space="0" w:color="auto"/>
          </w:divBdr>
          <w:divsChild>
            <w:div w:id="844900650">
              <w:marLeft w:val="0"/>
              <w:marRight w:val="0"/>
              <w:marTop w:val="0"/>
              <w:marBottom w:val="0"/>
              <w:divBdr>
                <w:top w:val="none" w:sz="0" w:space="0" w:color="auto"/>
                <w:left w:val="none" w:sz="0" w:space="0" w:color="auto"/>
                <w:bottom w:val="none" w:sz="0" w:space="0" w:color="auto"/>
                <w:right w:val="none" w:sz="0" w:space="0" w:color="auto"/>
              </w:divBdr>
              <w:divsChild>
                <w:div w:id="127479609">
                  <w:marLeft w:val="0"/>
                  <w:marRight w:val="0"/>
                  <w:marTop w:val="0"/>
                  <w:marBottom w:val="0"/>
                  <w:divBdr>
                    <w:top w:val="none" w:sz="0" w:space="0" w:color="auto"/>
                    <w:left w:val="none" w:sz="0" w:space="0" w:color="auto"/>
                    <w:bottom w:val="none" w:sz="0" w:space="0" w:color="auto"/>
                    <w:right w:val="none" w:sz="0" w:space="0" w:color="auto"/>
                  </w:divBdr>
                  <w:divsChild>
                    <w:div w:id="17816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19545">
      <w:bodyDiv w:val="1"/>
      <w:marLeft w:val="0"/>
      <w:marRight w:val="0"/>
      <w:marTop w:val="0"/>
      <w:marBottom w:val="0"/>
      <w:divBdr>
        <w:top w:val="none" w:sz="0" w:space="0" w:color="auto"/>
        <w:left w:val="none" w:sz="0" w:space="0" w:color="auto"/>
        <w:bottom w:val="none" w:sz="0" w:space="0" w:color="auto"/>
        <w:right w:val="none" w:sz="0" w:space="0" w:color="auto"/>
      </w:divBdr>
      <w:divsChild>
        <w:div w:id="350184009">
          <w:marLeft w:val="0"/>
          <w:marRight w:val="0"/>
          <w:marTop w:val="0"/>
          <w:marBottom w:val="0"/>
          <w:divBdr>
            <w:top w:val="none" w:sz="0" w:space="0" w:color="auto"/>
            <w:left w:val="none" w:sz="0" w:space="0" w:color="auto"/>
            <w:bottom w:val="none" w:sz="0" w:space="0" w:color="auto"/>
            <w:right w:val="none" w:sz="0" w:space="0" w:color="auto"/>
          </w:divBdr>
          <w:divsChild>
            <w:div w:id="1815634778">
              <w:marLeft w:val="0"/>
              <w:marRight w:val="0"/>
              <w:marTop w:val="0"/>
              <w:marBottom w:val="0"/>
              <w:divBdr>
                <w:top w:val="none" w:sz="0" w:space="0" w:color="auto"/>
                <w:left w:val="none" w:sz="0" w:space="0" w:color="auto"/>
                <w:bottom w:val="none" w:sz="0" w:space="0" w:color="auto"/>
                <w:right w:val="none" w:sz="0" w:space="0" w:color="auto"/>
              </w:divBdr>
              <w:divsChild>
                <w:div w:id="643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03784">
      <w:bodyDiv w:val="1"/>
      <w:marLeft w:val="0"/>
      <w:marRight w:val="0"/>
      <w:marTop w:val="0"/>
      <w:marBottom w:val="0"/>
      <w:divBdr>
        <w:top w:val="none" w:sz="0" w:space="0" w:color="auto"/>
        <w:left w:val="none" w:sz="0" w:space="0" w:color="auto"/>
        <w:bottom w:val="none" w:sz="0" w:space="0" w:color="auto"/>
        <w:right w:val="none" w:sz="0" w:space="0" w:color="auto"/>
      </w:divBdr>
    </w:div>
    <w:div w:id="748890507">
      <w:bodyDiv w:val="1"/>
      <w:marLeft w:val="0"/>
      <w:marRight w:val="0"/>
      <w:marTop w:val="0"/>
      <w:marBottom w:val="0"/>
      <w:divBdr>
        <w:top w:val="none" w:sz="0" w:space="0" w:color="auto"/>
        <w:left w:val="none" w:sz="0" w:space="0" w:color="auto"/>
        <w:bottom w:val="none" w:sz="0" w:space="0" w:color="auto"/>
        <w:right w:val="none" w:sz="0" w:space="0" w:color="auto"/>
      </w:divBdr>
      <w:divsChild>
        <w:div w:id="1040321568">
          <w:marLeft w:val="0"/>
          <w:marRight w:val="0"/>
          <w:marTop w:val="0"/>
          <w:marBottom w:val="0"/>
          <w:divBdr>
            <w:top w:val="none" w:sz="0" w:space="0" w:color="auto"/>
            <w:left w:val="none" w:sz="0" w:space="0" w:color="auto"/>
            <w:bottom w:val="none" w:sz="0" w:space="0" w:color="auto"/>
            <w:right w:val="none" w:sz="0" w:space="0" w:color="auto"/>
          </w:divBdr>
          <w:divsChild>
            <w:div w:id="2007129410">
              <w:marLeft w:val="-225"/>
              <w:marRight w:val="-225"/>
              <w:marTop w:val="0"/>
              <w:marBottom w:val="0"/>
              <w:divBdr>
                <w:top w:val="none" w:sz="0" w:space="0" w:color="auto"/>
                <w:left w:val="none" w:sz="0" w:space="0" w:color="auto"/>
                <w:bottom w:val="none" w:sz="0" w:space="0" w:color="auto"/>
                <w:right w:val="none" w:sz="0" w:space="0" w:color="auto"/>
              </w:divBdr>
              <w:divsChild>
                <w:div w:id="867330952">
                  <w:marLeft w:val="0"/>
                  <w:marRight w:val="0"/>
                  <w:marTop w:val="0"/>
                  <w:marBottom w:val="0"/>
                  <w:divBdr>
                    <w:top w:val="none" w:sz="0" w:space="0" w:color="auto"/>
                    <w:left w:val="none" w:sz="0" w:space="0" w:color="auto"/>
                    <w:bottom w:val="none" w:sz="0" w:space="0" w:color="auto"/>
                    <w:right w:val="none" w:sz="0" w:space="0" w:color="auto"/>
                  </w:divBdr>
                  <w:divsChild>
                    <w:div w:id="1395813855">
                      <w:marLeft w:val="0"/>
                      <w:marRight w:val="0"/>
                      <w:marTop w:val="0"/>
                      <w:marBottom w:val="0"/>
                      <w:divBdr>
                        <w:top w:val="none" w:sz="0" w:space="0" w:color="auto"/>
                        <w:left w:val="none" w:sz="0" w:space="0" w:color="auto"/>
                        <w:bottom w:val="none" w:sz="0" w:space="0" w:color="auto"/>
                        <w:right w:val="none" w:sz="0" w:space="0" w:color="auto"/>
                      </w:divBdr>
                      <w:divsChild>
                        <w:div w:id="1370764320">
                          <w:marLeft w:val="0"/>
                          <w:marRight w:val="0"/>
                          <w:marTop w:val="0"/>
                          <w:marBottom w:val="0"/>
                          <w:divBdr>
                            <w:top w:val="none" w:sz="0" w:space="0" w:color="auto"/>
                            <w:left w:val="none" w:sz="0" w:space="0" w:color="auto"/>
                            <w:bottom w:val="none" w:sz="0" w:space="0" w:color="auto"/>
                            <w:right w:val="none" w:sz="0" w:space="0" w:color="auto"/>
                          </w:divBdr>
                          <w:divsChild>
                            <w:div w:id="1730494657">
                              <w:marLeft w:val="0"/>
                              <w:marRight w:val="0"/>
                              <w:marTop w:val="0"/>
                              <w:marBottom w:val="0"/>
                              <w:divBdr>
                                <w:top w:val="none" w:sz="0" w:space="0" w:color="auto"/>
                                <w:left w:val="none" w:sz="0" w:space="0" w:color="auto"/>
                                <w:bottom w:val="none" w:sz="0" w:space="0" w:color="auto"/>
                                <w:right w:val="none" w:sz="0" w:space="0" w:color="auto"/>
                              </w:divBdr>
                              <w:divsChild>
                                <w:div w:id="47633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452230">
      <w:bodyDiv w:val="1"/>
      <w:marLeft w:val="0"/>
      <w:marRight w:val="0"/>
      <w:marTop w:val="0"/>
      <w:marBottom w:val="0"/>
      <w:divBdr>
        <w:top w:val="none" w:sz="0" w:space="0" w:color="auto"/>
        <w:left w:val="none" w:sz="0" w:space="0" w:color="auto"/>
        <w:bottom w:val="none" w:sz="0" w:space="0" w:color="auto"/>
        <w:right w:val="none" w:sz="0" w:space="0" w:color="auto"/>
      </w:divBdr>
      <w:divsChild>
        <w:div w:id="1229607502">
          <w:marLeft w:val="0"/>
          <w:marRight w:val="0"/>
          <w:marTop w:val="0"/>
          <w:marBottom w:val="0"/>
          <w:divBdr>
            <w:top w:val="none" w:sz="0" w:space="0" w:color="auto"/>
            <w:left w:val="none" w:sz="0" w:space="0" w:color="auto"/>
            <w:bottom w:val="none" w:sz="0" w:space="0" w:color="auto"/>
            <w:right w:val="none" w:sz="0" w:space="0" w:color="auto"/>
          </w:divBdr>
          <w:divsChild>
            <w:div w:id="1072656304">
              <w:marLeft w:val="0"/>
              <w:marRight w:val="0"/>
              <w:marTop w:val="0"/>
              <w:marBottom w:val="0"/>
              <w:divBdr>
                <w:top w:val="none" w:sz="0" w:space="0" w:color="auto"/>
                <w:left w:val="none" w:sz="0" w:space="0" w:color="auto"/>
                <w:bottom w:val="none" w:sz="0" w:space="0" w:color="auto"/>
                <w:right w:val="none" w:sz="0" w:space="0" w:color="auto"/>
              </w:divBdr>
              <w:divsChild>
                <w:div w:id="71601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9582">
      <w:bodyDiv w:val="1"/>
      <w:marLeft w:val="0"/>
      <w:marRight w:val="0"/>
      <w:marTop w:val="0"/>
      <w:marBottom w:val="0"/>
      <w:divBdr>
        <w:top w:val="none" w:sz="0" w:space="0" w:color="auto"/>
        <w:left w:val="none" w:sz="0" w:space="0" w:color="auto"/>
        <w:bottom w:val="none" w:sz="0" w:space="0" w:color="auto"/>
        <w:right w:val="none" w:sz="0" w:space="0" w:color="auto"/>
      </w:divBdr>
      <w:divsChild>
        <w:div w:id="483819290">
          <w:marLeft w:val="0"/>
          <w:marRight w:val="0"/>
          <w:marTop w:val="0"/>
          <w:marBottom w:val="0"/>
          <w:divBdr>
            <w:top w:val="none" w:sz="0" w:space="0" w:color="auto"/>
            <w:left w:val="none" w:sz="0" w:space="0" w:color="auto"/>
            <w:bottom w:val="none" w:sz="0" w:space="0" w:color="auto"/>
            <w:right w:val="none" w:sz="0" w:space="0" w:color="auto"/>
          </w:divBdr>
          <w:divsChild>
            <w:div w:id="1472937138">
              <w:marLeft w:val="0"/>
              <w:marRight w:val="0"/>
              <w:marTop w:val="0"/>
              <w:marBottom w:val="0"/>
              <w:divBdr>
                <w:top w:val="none" w:sz="0" w:space="0" w:color="auto"/>
                <w:left w:val="none" w:sz="0" w:space="0" w:color="auto"/>
                <w:bottom w:val="none" w:sz="0" w:space="0" w:color="auto"/>
                <w:right w:val="none" w:sz="0" w:space="0" w:color="auto"/>
              </w:divBdr>
              <w:divsChild>
                <w:div w:id="503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936553">
      <w:bodyDiv w:val="1"/>
      <w:marLeft w:val="0"/>
      <w:marRight w:val="0"/>
      <w:marTop w:val="0"/>
      <w:marBottom w:val="0"/>
      <w:divBdr>
        <w:top w:val="none" w:sz="0" w:space="0" w:color="auto"/>
        <w:left w:val="none" w:sz="0" w:space="0" w:color="auto"/>
        <w:bottom w:val="none" w:sz="0" w:space="0" w:color="auto"/>
        <w:right w:val="none" w:sz="0" w:space="0" w:color="auto"/>
      </w:divBdr>
    </w:div>
    <w:div w:id="808933651">
      <w:bodyDiv w:val="1"/>
      <w:marLeft w:val="0"/>
      <w:marRight w:val="0"/>
      <w:marTop w:val="0"/>
      <w:marBottom w:val="0"/>
      <w:divBdr>
        <w:top w:val="none" w:sz="0" w:space="0" w:color="auto"/>
        <w:left w:val="none" w:sz="0" w:space="0" w:color="auto"/>
        <w:bottom w:val="none" w:sz="0" w:space="0" w:color="auto"/>
        <w:right w:val="none" w:sz="0" w:space="0" w:color="auto"/>
      </w:divBdr>
    </w:div>
    <w:div w:id="833765860">
      <w:bodyDiv w:val="1"/>
      <w:marLeft w:val="0"/>
      <w:marRight w:val="0"/>
      <w:marTop w:val="0"/>
      <w:marBottom w:val="0"/>
      <w:divBdr>
        <w:top w:val="none" w:sz="0" w:space="0" w:color="auto"/>
        <w:left w:val="none" w:sz="0" w:space="0" w:color="auto"/>
        <w:bottom w:val="none" w:sz="0" w:space="0" w:color="auto"/>
        <w:right w:val="none" w:sz="0" w:space="0" w:color="auto"/>
      </w:divBdr>
      <w:divsChild>
        <w:div w:id="830562102">
          <w:marLeft w:val="0"/>
          <w:marRight w:val="0"/>
          <w:marTop w:val="0"/>
          <w:marBottom w:val="0"/>
          <w:divBdr>
            <w:top w:val="none" w:sz="0" w:space="0" w:color="auto"/>
            <w:left w:val="none" w:sz="0" w:space="0" w:color="auto"/>
            <w:bottom w:val="none" w:sz="0" w:space="0" w:color="auto"/>
            <w:right w:val="none" w:sz="0" w:space="0" w:color="auto"/>
          </w:divBdr>
          <w:divsChild>
            <w:div w:id="1289237555">
              <w:marLeft w:val="0"/>
              <w:marRight w:val="0"/>
              <w:marTop w:val="0"/>
              <w:marBottom w:val="0"/>
              <w:divBdr>
                <w:top w:val="none" w:sz="0" w:space="0" w:color="auto"/>
                <w:left w:val="none" w:sz="0" w:space="0" w:color="auto"/>
                <w:bottom w:val="none" w:sz="0" w:space="0" w:color="auto"/>
                <w:right w:val="none" w:sz="0" w:space="0" w:color="auto"/>
              </w:divBdr>
              <w:divsChild>
                <w:div w:id="9690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04923">
      <w:bodyDiv w:val="1"/>
      <w:marLeft w:val="0"/>
      <w:marRight w:val="0"/>
      <w:marTop w:val="0"/>
      <w:marBottom w:val="0"/>
      <w:divBdr>
        <w:top w:val="none" w:sz="0" w:space="0" w:color="auto"/>
        <w:left w:val="none" w:sz="0" w:space="0" w:color="auto"/>
        <w:bottom w:val="none" w:sz="0" w:space="0" w:color="auto"/>
        <w:right w:val="none" w:sz="0" w:space="0" w:color="auto"/>
      </w:divBdr>
      <w:divsChild>
        <w:div w:id="1692487413">
          <w:marLeft w:val="0"/>
          <w:marRight w:val="0"/>
          <w:marTop w:val="0"/>
          <w:marBottom w:val="0"/>
          <w:divBdr>
            <w:top w:val="none" w:sz="0" w:space="0" w:color="auto"/>
            <w:left w:val="none" w:sz="0" w:space="0" w:color="auto"/>
            <w:bottom w:val="none" w:sz="0" w:space="0" w:color="auto"/>
            <w:right w:val="none" w:sz="0" w:space="0" w:color="auto"/>
          </w:divBdr>
          <w:divsChild>
            <w:div w:id="2063825758">
              <w:marLeft w:val="0"/>
              <w:marRight w:val="0"/>
              <w:marTop w:val="0"/>
              <w:marBottom w:val="0"/>
              <w:divBdr>
                <w:top w:val="none" w:sz="0" w:space="0" w:color="auto"/>
                <w:left w:val="none" w:sz="0" w:space="0" w:color="auto"/>
                <w:bottom w:val="none" w:sz="0" w:space="0" w:color="auto"/>
                <w:right w:val="none" w:sz="0" w:space="0" w:color="auto"/>
              </w:divBdr>
              <w:divsChild>
                <w:div w:id="714281765">
                  <w:marLeft w:val="0"/>
                  <w:marRight w:val="0"/>
                  <w:marTop w:val="0"/>
                  <w:marBottom w:val="0"/>
                  <w:divBdr>
                    <w:top w:val="none" w:sz="0" w:space="0" w:color="auto"/>
                    <w:left w:val="none" w:sz="0" w:space="0" w:color="auto"/>
                    <w:bottom w:val="none" w:sz="0" w:space="0" w:color="auto"/>
                    <w:right w:val="none" w:sz="0" w:space="0" w:color="auto"/>
                  </w:divBdr>
                  <w:divsChild>
                    <w:div w:id="21079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08136">
      <w:bodyDiv w:val="1"/>
      <w:marLeft w:val="0"/>
      <w:marRight w:val="0"/>
      <w:marTop w:val="0"/>
      <w:marBottom w:val="0"/>
      <w:divBdr>
        <w:top w:val="none" w:sz="0" w:space="0" w:color="auto"/>
        <w:left w:val="none" w:sz="0" w:space="0" w:color="auto"/>
        <w:bottom w:val="none" w:sz="0" w:space="0" w:color="auto"/>
        <w:right w:val="none" w:sz="0" w:space="0" w:color="auto"/>
      </w:divBdr>
      <w:divsChild>
        <w:div w:id="1960607411">
          <w:marLeft w:val="0"/>
          <w:marRight w:val="0"/>
          <w:marTop w:val="0"/>
          <w:marBottom w:val="0"/>
          <w:divBdr>
            <w:top w:val="none" w:sz="0" w:space="0" w:color="auto"/>
            <w:left w:val="none" w:sz="0" w:space="0" w:color="auto"/>
            <w:bottom w:val="none" w:sz="0" w:space="0" w:color="auto"/>
            <w:right w:val="none" w:sz="0" w:space="0" w:color="auto"/>
          </w:divBdr>
          <w:divsChild>
            <w:div w:id="909079089">
              <w:marLeft w:val="0"/>
              <w:marRight w:val="0"/>
              <w:marTop w:val="0"/>
              <w:marBottom w:val="0"/>
              <w:divBdr>
                <w:top w:val="none" w:sz="0" w:space="0" w:color="auto"/>
                <w:left w:val="none" w:sz="0" w:space="0" w:color="auto"/>
                <w:bottom w:val="none" w:sz="0" w:space="0" w:color="auto"/>
                <w:right w:val="none" w:sz="0" w:space="0" w:color="auto"/>
              </w:divBdr>
              <w:divsChild>
                <w:div w:id="525872222">
                  <w:marLeft w:val="0"/>
                  <w:marRight w:val="0"/>
                  <w:marTop w:val="0"/>
                  <w:marBottom w:val="0"/>
                  <w:divBdr>
                    <w:top w:val="none" w:sz="0" w:space="0" w:color="auto"/>
                    <w:left w:val="none" w:sz="0" w:space="0" w:color="auto"/>
                    <w:bottom w:val="none" w:sz="0" w:space="0" w:color="auto"/>
                    <w:right w:val="none" w:sz="0" w:space="0" w:color="auto"/>
                  </w:divBdr>
                  <w:divsChild>
                    <w:div w:id="5187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95379">
      <w:bodyDiv w:val="1"/>
      <w:marLeft w:val="0"/>
      <w:marRight w:val="0"/>
      <w:marTop w:val="0"/>
      <w:marBottom w:val="0"/>
      <w:divBdr>
        <w:top w:val="none" w:sz="0" w:space="0" w:color="auto"/>
        <w:left w:val="none" w:sz="0" w:space="0" w:color="auto"/>
        <w:bottom w:val="none" w:sz="0" w:space="0" w:color="auto"/>
        <w:right w:val="none" w:sz="0" w:space="0" w:color="auto"/>
      </w:divBdr>
      <w:divsChild>
        <w:div w:id="1503664918">
          <w:marLeft w:val="0"/>
          <w:marRight w:val="0"/>
          <w:marTop w:val="0"/>
          <w:marBottom w:val="0"/>
          <w:divBdr>
            <w:top w:val="none" w:sz="0" w:space="0" w:color="auto"/>
            <w:left w:val="none" w:sz="0" w:space="0" w:color="auto"/>
            <w:bottom w:val="none" w:sz="0" w:space="0" w:color="auto"/>
            <w:right w:val="none" w:sz="0" w:space="0" w:color="auto"/>
          </w:divBdr>
          <w:divsChild>
            <w:div w:id="518812015">
              <w:marLeft w:val="0"/>
              <w:marRight w:val="0"/>
              <w:marTop w:val="0"/>
              <w:marBottom w:val="0"/>
              <w:divBdr>
                <w:top w:val="none" w:sz="0" w:space="0" w:color="auto"/>
                <w:left w:val="none" w:sz="0" w:space="0" w:color="auto"/>
                <w:bottom w:val="none" w:sz="0" w:space="0" w:color="auto"/>
                <w:right w:val="none" w:sz="0" w:space="0" w:color="auto"/>
              </w:divBdr>
              <w:divsChild>
                <w:div w:id="7591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94602">
      <w:bodyDiv w:val="1"/>
      <w:marLeft w:val="0"/>
      <w:marRight w:val="0"/>
      <w:marTop w:val="0"/>
      <w:marBottom w:val="0"/>
      <w:divBdr>
        <w:top w:val="none" w:sz="0" w:space="0" w:color="auto"/>
        <w:left w:val="none" w:sz="0" w:space="0" w:color="auto"/>
        <w:bottom w:val="none" w:sz="0" w:space="0" w:color="auto"/>
        <w:right w:val="none" w:sz="0" w:space="0" w:color="auto"/>
      </w:divBdr>
    </w:div>
    <w:div w:id="918830464">
      <w:bodyDiv w:val="1"/>
      <w:marLeft w:val="0"/>
      <w:marRight w:val="0"/>
      <w:marTop w:val="0"/>
      <w:marBottom w:val="0"/>
      <w:divBdr>
        <w:top w:val="none" w:sz="0" w:space="0" w:color="auto"/>
        <w:left w:val="none" w:sz="0" w:space="0" w:color="auto"/>
        <w:bottom w:val="none" w:sz="0" w:space="0" w:color="auto"/>
        <w:right w:val="none" w:sz="0" w:space="0" w:color="auto"/>
      </w:divBdr>
      <w:divsChild>
        <w:div w:id="901644453">
          <w:marLeft w:val="0"/>
          <w:marRight w:val="0"/>
          <w:marTop w:val="0"/>
          <w:marBottom w:val="0"/>
          <w:divBdr>
            <w:top w:val="none" w:sz="0" w:space="0" w:color="auto"/>
            <w:left w:val="none" w:sz="0" w:space="0" w:color="auto"/>
            <w:bottom w:val="none" w:sz="0" w:space="0" w:color="auto"/>
            <w:right w:val="none" w:sz="0" w:space="0" w:color="auto"/>
          </w:divBdr>
          <w:divsChild>
            <w:div w:id="1464038937">
              <w:marLeft w:val="0"/>
              <w:marRight w:val="0"/>
              <w:marTop w:val="0"/>
              <w:marBottom w:val="0"/>
              <w:divBdr>
                <w:top w:val="none" w:sz="0" w:space="0" w:color="auto"/>
                <w:left w:val="none" w:sz="0" w:space="0" w:color="auto"/>
                <w:bottom w:val="none" w:sz="0" w:space="0" w:color="auto"/>
                <w:right w:val="none" w:sz="0" w:space="0" w:color="auto"/>
              </w:divBdr>
              <w:divsChild>
                <w:div w:id="1743135829">
                  <w:marLeft w:val="0"/>
                  <w:marRight w:val="0"/>
                  <w:marTop w:val="0"/>
                  <w:marBottom w:val="0"/>
                  <w:divBdr>
                    <w:top w:val="none" w:sz="0" w:space="0" w:color="auto"/>
                    <w:left w:val="none" w:sz="0" w:space="0" w:color="auto"/>
                    <w:bottom w:val="none" w:sz="0" w:space="0" w:color="auto"/>
                    <w:right w:val="none" w:sz="0" w:space="0" w:color="auto"/>
                  </w:divBdr>
                  <w:divsChild>
                    <w:div w:id="10771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308064">
      <w:bodyDiv w:val="1"/>
      <w:marLeft w:val="0"/>
      <w:marRight w:val="0"/>
      <w:marTop w:val="0"/>
      <w:marBottom w:val="0"/>
      <w:divBdr>
        <w:top w:val="none" w:sz="0" w:space="0" w:color="auto"/>
        <w:left w:val="none" w:sz="0" w:space="0" w:color="auto"/>
        <w:bottom w:val="none" w:sz="0" w:space="0" w:color="auto"/>
        <w:right w:val="none" w:sz="0" w:space="0" w:color="auto"/>
      </w:divBdr>
    </w:div>
    <w:div w:id="929586595">
      <w:bodyDiv w:val="1"/>
      <w:marLeft w:val="0"/>
      <w:marRight w:val="0"/>
      <w:marTop w:val="0"/>
      <w:marBottom w:val="0"/>
      <w:divBdr>
        <w:top w:val="none" w:sz="0" w:space="0" w:color="auto"/>
        <w:left w:val="none" w:sz="0" w:space="0" w:color="auto"/>
        <w:bottom w:val="none" w:sz="0" w:space="0" w:color="auto"/>
        <w:right w:val="none" w:sz="0" w:space="0" w:color="auto"/>
      </w:divBdr>
      <w:divsChild>
        <w:div w:id="1521041484">
          <w:marLeft w:val="0"/>
          <w:marRight w:val="0"/>
          <w:marTop w:val="0"/>
          <w:marBottom w:val="0"/>
          <w:divBdr>
            <w:top w:val="none" w:sz="0" w:space="0" w:color="auto"/>
            <w:left w:val="none" w:sz="0" w:space="0" w:color="auto"/>
            <w:bottom w:val="none" w:sz="0" w:space="0" w:color="auto"/>
            <w:right w:val="none" w:sz="0" w:space="0" w:color="auto"/>
          </w:divBdr>
          <w:divsChild>
            <w:div w:id="2087143368">
              <w:marLeft w:val="0"/>
              <w:marRight w:val="0"/>
              <w:marTop w:val="0"/>
              <w:marBottom w:val="0"/>
              <w:divBdr>
                <w:top w:val="none" w:sz="0" w:space="0" w:color="auto"/>
                <w:left w:val="none" w:sz="0" w:space="0" w:color="auto"/>
                <w:bottom w:val="none" w:sz="0" w:space="0" w:color="auto"/>
                <w:right w:val="none" w:sz="0" w:space="0" w:color="auto"/>
              </w:divBdr>
              <w:divsChild>
                <w:div w:id="1182082881">
                  <w:marLeft w:val="0"/>
                  <w:marRight w:val="0"/>
                  <w:marTop w:val="0"/>
                  <w:marBottom w:val="0"/>
                  <w:divBdr>
                    <w:top w:val="none" w:sz="0" w:space="0" w:color="auto"/>
                    <w:left w:val="none" w:sz="0" w:space="0" w:color="auto"/>
                    <w:bottom w:val="none" w:sz="0" w:space="0" w:color="auto"/>
                    <w:right w:val="none" w:sz="0" w:space="0" w:color="auto"/>
                  </w:divBdr>
                  <w:divsChild>
                    <w:div w:id="3447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133207">
      <w:bodyDiv w:val="1"/>
      <w:marLeft w:val="0"/>
      <w:marRight w:val="0"/>
      <w:marTop w:val="0"/>
      <w:marBottom w:val="0"/>
      <w:divBdr>
        <w:top w:val="none" w:sz="0" w:space="0" w:color="auto"/>
        <w:left w:val="none" w:sz="0" w:space="0" w:color="auto"/>
        <w:bottom w:val="none" w:sz="0" w:space="0" w:color="auto"/>
        <w:right w:val="none" w:sz="0" w:space="0" w:color="auto"/>
      </w:divBdr>
      <w:divsChild>
        <w:div w:id="1597132333">
          <w:marLeft w:val="0"/>
          <w:marRight w:val="0"/>
          <w:marTop w:val="0"/>
          <w:marBottom w:val="0"/>
          <w:divBdr>
            <w:top w:val="none" w:sz="0" w:space="0" w:color="auto"/>
            <w:left w:val="none" w:sz="0" w:space="0" w:color="auto"/>
            <w:bottom w:val="none" w:sz="0" w:space="0" w:color="auto"/>
            <w:right w:val="none" w:sz="0" w:space="0" w:color="auto"/>
          </w:divBdr>
          <w:divsChild>
            <w:div w:id="355734595">
              <w:marLeft w:val="0"/>
              <w:marRight w:val="0"/>
              <w:marTop w:val="0"/>
              <w:marBottom w:val="0"/>
              <w:divBdr>
                <w:top w:val="none" w:sz="0" w:space="0" w:color="auto"/>
                <w:left w:val="none" w:sz="0" w:space="0" w:color="auto"/>
                <w:bottom w:val="none" w:sz="0" w:space="0" w:color="auto"/>
                <w:right w:val="none" w:sz="0" w:space="0" w:color="auto"/>
              </w:divBdr>
              <w:divsChild>
                <w:div w:id="628052064">
                  <w:marLeft w:val="0"/>
                  <w:marRight w:val="0"/>
                  <w:marTop w:val="0"/>
                  <w:marBottom w:val="0"/>
                  <w:divBdr>
                    <w:top w:val="none" w:sz="0" w:space="0" w:color="auto"/>
                    <w:left w:val="none" w:sz="0" w:space="0" w:color="auto"/>
                    <w:bottom w:val="none" w:sz="0" w:space="0" w:color="auto"/>
                    <w:right w:val="none" w:sz="0" w:space="0" w:color="auto"/>
                  </w:divBdr>
                </w:div>
              </w:divsChild>
            </w:div>
            <w:div w:id="894855176">
              <w:marLeft w:val="0"/>
              <w:marRight w:val="0"/>
              <w:marTop w:val="0"/>
              <w:marBottom w:val="0"/>
              <w:divBdr>
                <w:top w:val="none" w:sz="0" w:space="0" w:color="auto"/>
                <w:left w:val="none" w:sz="0" w:space="0" w:color="auto"/>
                <w:bottom w:val="none" w:sz="0" w:space="0" w:color="auto"/>
                <w:right w:val="none" w:sz="0" w:space="0" w:color="auto"/>
              </w:divBdr>
              <w:divsChild>
                <w:div w:id="145248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06580">
      <w:bodyDiv w:val="1"/>
      <w:marLeft w:val="0"/>
      <w:marRight w:val="0"/>
      <w:marTop w:val="0"/>
      <w:marBottom w:val="0"/>
      <w:divBdr>
        <w:top w:val="none" w:sz="0" w:space="0" w:color="auto"/>
        <w:left w:val="none" w:sz="0" w:space="0" w:color="auto"/>
        <w:bottom w:val="none" w:sz="0" w:space="0" w:color="auto"/>
        <w:right w:val="none" w:sz="0" w:space="0" w:color="auto"/>
      </w:divBdr>
      <w:divsChild>
        <w:div w:id="2064713430">
          <w:marLeft w:val="0"/>
          <w:marRight w:val="0"/>
          <w:marTop w:val="0"/>
          <w:marBottom w:val="0"/>
          <w:divBdr>
            <w:top w:val="none" w:sz="0" w:space="0" w:color="auto"/>
            <w:left w:val="none" w:sz="0" w:space="0" w:color="auto"/>
            <w:bottom w:val="none" w:sz="0" w:space="0" w:color="auto"/>
            <w:right w:val="none" w:sz="0" w:space="0" w:color="auto"/>
          </w:divBdr>
          <w:divsChild>
            <w:div w:id="1437751248">
              <w:marLeft w:val="0"/>
              <w:marRight w:val="0"/>
              <w:marTop w:val="0"/>
              <w:marBottom w:val="0"/>
              <w:divBdr>
                <w:top w:val="none" w:sz="0" w:space="0" w:color="auto"/>
                <w:left w:val="none" w:sz="0" w:space="0" w:color="auto"/>
                <w:bottom w:val="none" w:sz="0" w:space="0" w:color="auto"/>
                <w:right w:val="none" w:sz="0" w:space="0" w:color="auto"/>
              </w:divBdr>
              <w:divsChild>
                <w:div w:id="180239343">
                  <w:marLeft w:val="0"/>
                  <w:marRight w:val="0"/>
                  <w:marTop w:val="0"/>
                  <w:marBottom w:val="0"/>
                  <w:divBdr>
                    <w:top w:val="none" w:sz="0" w:space="0" w:color="auto"/>
                    <w:left w:val="none" w:sz="0" w:space="0" w:color="auto"/>
                    <w:bottom w:val="none" w:sz="0" w:space="0" w:color="auto"/>
                    <w:right w:val="none" w:sz="0" w:space="0" w:color="auto"/>
                  </w:divBdr>
                  <w:divsChild>
                    <w:div w:id="37342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846583">
      <w:bodyDiv w:val="1"/>
      <w:marLeft w:val="0"/>
      <w:marRight w:val="0"/>
      <w:marTop w:val="0"/>
      <w:marBottom w:val="0"/>
      <w:divBdr>
        <w:top w:val="none" w:sz="0" w:space="0" w:color="auto"/>
        <w:left w:val="none" w:sz="0" w:space="0" w:color="auto"/>
        <w:bottom w:val="none" w:sz="0" w:space="0" w:color="auto"/>
        <w:right w:val="none" w:sz="0" w:space="0" w:color="auto"/>
      </w:divBdr>
    </w:div>
    <w:div w:id="948973222">
      <w:bodyDiv w:val="1"/>
      <w:marLeft w:val="0"/>
      <w:marRight w:val="0"/>
      <w:marTop w:val="0"/>
      <w:marBottom w:val="0"/>
      <w:divBdr>
        <w:top w:val="none" w:sz="0" w:space="0" w:color="auto"/>
        <w:left w:val="none" w:sz="0" w:space="0" w:color="auto"/>
        <w:bottom w:val="none" w:sz="0" w:space="0" w:color="auto"/>
        <w:right w:val="none" w:sz="0" w:space="0" w:color="auto"/>
      </w:divBdr>
      <w:divsChild>
        <w:div w:id="2068140159">
          <w:marLeft w:val="0"/>
          <w:marRight w:val="0"/>
          <w:marTop w:val="0"/>
          <w:marBottom w:val="0"/>
          <w:divBdr>
            <w:top w:val="none" w:sz="0" w:space="0" w:color="auto"/>
            <w:left w:val="none" w:sz="0" w:space="0" w:color="auto"/>
            <w:bottom w:val="none" w:sz="0" w:space="0" w:color="auto"/>
            <w:right w:val="none" w:sz="0" w:space="0" w:color="auto"/>
          </w:divBdr>
          <w:divsChild>
            <w:div w:id="801574576">
              <w:marLeft w:val="0"/>
              <w:marRight w:val="0"/>
              <w:marTop w:val="0"/>
              <w:marBottom w:val="0"/>
              <w:divBdr>
                <w:top w:val="none" w:sz="0" w:space="0" w:color="auto"/>
                <w:left w:val="none" w:sz="0" w:space="0" w:color="auto"/>
                <w:bottom w:val="none" w:sz="0" w:space="0" w:color="auto"/>
                <w:right w:val="none" w:sz="0" w:space="0" w:color="auto"/>
              </w:divBdr>
              <w:divsChild>
                <w:div w:id="1212380987">
                  <w:marLeft w:val="0"/>
                  <w:marRight w:val="0"/>
                  <w:marTop w:val="0"/>
                  <w:marBottom w:val="0"/>
                  <w:divBdr>
                    <w:top w:val="none" w:sz="0" w:space="0" w:color="auto"/>
                    <w:left w:val="none" w:sz="0" w:space="0" w:color="auto"/>
                    <w:bottom w:val="none" w:sz="0" w:space="0" w:color="auto"/>
                    <w:right w:val="none" w:sz="0" w:space="0" w:color="auto"/>
                  </w:divBdr>
                  <w:divsChild>
                    <w:div w:id="19654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28449">
      <w:bodyDiv w:val="1"/>
      <w:marLeft w:val="0"/>
      <w:marRight w:val="0"/>
      <w:marTop w:val="0"/>
      <w:marBottom w:val="0"/>
      <w:divBdr>
        <w:top w:val="none" w:sz="0" w:space="0" w:color="auto"/>
        <w:left w:val="none" w:sz="0" w:space="0" w:color="auto"/>
        <w:bottom w:val="none" w:sz="0" w:space="0" w:color="auto"/>
        <w:right w:val="none" w:sz="0" w:space="0" w:color="auto"/>
      </w:divBdr>
      <w:divsChild>
        <w:div w:id="300615178">
          <w:marLeft w:val="0"/>
          <w:marRight w:val="0"/>
          <w:marTop w:val="0"/>
          <w:marBottom w:val="0"/>
          <w:divBdr>
            <w:top w:val="none" w:sz="0" w:space="0" w:color="auto"/>
            <w:left w:val="none" w:sz="0" w:space="0" w:color="auto"/>
            <w:bottom w:val="none" w:sz="0" w:space="0" w:color="auto"/>
            <w:right w:val="none" w:sz="0" w:space="0" w:color="auto"/>
          </w:divBdr>
          <w:divsChild>
            <w:div w:id="1132140326">
              <w:marLeft w:val="0"/>
              <w:marRight w:val="0"/>
              <w:marTop w:val="0"/>
              <w:marBottom w:val="0"/>
              <w:divBdr>
                <w:top w:val="none" w:sz="0" w:space="0" w:color="auto"/>
                <w:left w:val="none" w:sz="0" w:space="0" w:color="auto"/>
                <w:bottom w:val="none" w:sz="0" w:space="0" w:color="auto"/>
                <w:right w:val="none" w:sz="0" w:space="0" w:color="auto"/>
              </w:divBdr>
              <w:divsChild>
                <w:div w:id="18551901">
                  <w:marLeft w:val="0"/>
                  <w:marRight w:val="0"/>
                  <w:marTop w:val="0"/>
                  <w:marBottom w:val="0"/>
                  <w:divBdr>
                    <w:top w:val="none" w:sz="0" w:space="0" w:color="auto"/>
                    <w:left w:val="none" w:sz="0" w:space="0" w:color="auto"/>
                    <w:bottom w:val="none" w:sz="0" w:space="0" w:color="auto"/>
                    <w:right w:val="none" w:sz="0" w:space="0" w:color="auto"/>
                  </w:divBdr>
                  <w:divsChild>
                    <w:div w:id="9671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270182">
      <w:bodyDiv w:val="1"/>
      <w:marLeft w:val="0"/>
      <w:marRight w:val="0"/>
      <w:marTop w:val="0"/>
      <w:marBottom w:val="0"/>
      <w:divBdr>
        <w:top w:val="none" w:sz="0" w:space="0" w:color="auto"/>
        <w:left w:val="none" w:sz="0" w:space="0" w:color="auto"/>
        <w:bottom w:val="none" w:sz="0" w:space="0" w:color="auto"/>
        <w:right w:val="none" w:sz="0" w:space="0" w:color="auto"/>
      </w:divBdr>
      <w:divsChild>
        <w:div w:id="1706326259">
          <w:marLeft w:val="0"/>
          <w:marRight w:val="0"/>
          <w:marTop w:val="0"/>
          <w:marBottom w:val="0"/>
          <w:divBdr>
            <w:top w:val="none" w:sz="0" w:space="0" w:color="auto"/>
            <w:left w:val="none" w:sz="0" w:space="0" w:color="auto"/>
            <w:bottom w:val="none" w:sz="0" w:space="0" w:color="auto"/>
            <w:right w:val="none" w:sz="0" w:space="0" w:color="auto"/>
          </w:divBdr>
          <w:divsChild>
            <w:div w:id="1202981131">
              <w:marLeft w:val="0"/>
              <w:marRight w:val="0"/>
              <w:marTop w:val="0"/>
              <w:marBottom w:val="0"/>
              <w:divBdr>
                <w:top w:val="none" w:sz="0" w:space="0" w:color="auto"/>
                <w:left w:val="none" w:sz="0" w:space="0" w:color="auto"/>
                <w:bottom w:val="none" w:sz="0" w:space="0" w:color="auto"/>
                <w:right w:val="none" w:sz="0" w:space="0" w:color="auto"/>
              </w:divBdr>
              <w:divsChild>
                <w:div w:id="569779598">
                  <w:marLeft w:val="0"/>
                  <w:marRight w:val="0"/>
                  <w:marTop w:val="0"/>
                  <w:marBottom w:val="0"/>
                  <w:divBdr>
                    <w:top w:val="none" w:sz="0" w:space="0" w:color="auto"/>
                    <w:left w:val="none" w:sz="0" w:space="0" w:color="auto"/>
                    <w:bottom w:val="none" w:sz="0" w:space="0" w:color="auto"/>
                    <w:right w:val="none" w:sz="0" w:space="0" w:color="auto"/>
                  </w:divBdr>
                  <w:divsChild>
                    <w:div w:id="29899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751477">
      <w:bodyDiv w:val="1"/>
      <w:marLeft w:val="0"/>
      <w:marRight w:val="0"/>
      <w:marTop w:val="0"/>
      <w:marBottom w:val="0"/>
      <w:divBdr>
        <w:top w:val="none" w:sz="0" w:space="0" w:color="auto"/>
        <w:left w:val="none" w:sz="0" w:space="0" w:color="auto"/>
        <w:bottom w:val="none" w:sz="0" w:space="0" w:color="auto"/>
        <w:right w:val="none" w:sz="0" w:space="0" w:color="auto"/>
      </w:divBdr>
      <w:divsChild>
        <w:div w:id="407923868">
          <w:marLeft w:val="0"/>
          <w:marRight w:val="0"/>
          <w:marTop w:val="0"/>
          <w:marBottom w:val="0"/>
          <w:divBdr>
            <w:top w:val="none" w:sz="0" w:space="0" w:color="auto"/>
            <w:left w:val="none" w:sz="0" w:space="0" w:color="auto"/>
            <w:bottom w:val="none" w:sz="0" w:space="0" w:color="auto"/>
            <w:right w:val="none" w:sz="0" w:space="0" w:color="auto"/>
          </w:divBdr>
          <w:divsChild>
            <w:div w:id="1288780311">
              <w:marLeft w:val="0"/>
              <w:marRight w:val="0"/>
              <w:marTop w:val="0"/>
              <w:marBottom w:val="0"/>
              <w:divBdr>
                <w:top w:val="none" w:sz="0" w:space="0" w:color="auto"/>
                <w:left w:val="none" w:sz="0" w:space="0" w:color="auto"/>
                <w:bottom w:val="none" w:sz="0" w:space="0" w:color="auto"/>
                <w:right w:val="none" w:sz="0" w:space="0" w:color="auto"/>
              </w:divBdr>
              <w:divsChild>
                <w:div w:id="14507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98234">
      <w:bodyDiv w:val="1"/>
      <w:marLeft w:val="0"/>
      <w:marRight w:val="0"/>
      <w:marTop w:val="0"/>
      <w:marBottom w:val="0"/>
      <w:divBdr>
        <w:top w:val="none" w:sz="0" w:space="0" w:color="auto"/>
        <w:left w:val="none" w:sz="0" w:space="0" w:color="auto"/>
        <w:bottom w:val="none" w:sz="0" w:space="0" w:color="auto"/>
        <w:right w:val="none" w:sz="0" w:space="0" w:color="auto"/>
      </w:divBdr>
      <w:divsChild>
        <w:div w:id="515971045">
          <w:marLeft w:val="0"/>
          <w:marRight w:val="0"/>
          <w:marTop w:val="0"/>
          <w:marBottom w:val="0"/>
          <w:divBdr>
            <w:top w:val="none" w:sz="0" w:space="0" w:color="auto"/>
            <w:left w:val="none" w:sz="0" w:space="0" w:color="auto"/>
            <w:bottom w:val="none" w:sz="0" w:space="0" w:color="auto"/>
            <w:right w:val="none" w:sz="0" w:space="0" w:color="auto"/>
          </w:divBdr>
          <w:divsChild>
            <w:div w:id="237986256">
              <w:marLeft w:val="0"/>
              <w:marRight w:val="0"/>
              <w:marTop w:val="0"/>
              <w:marBottom w:val="0"/>
              <w:divBdr>
                <w:top w:val="none" w:sz="0" w:space="0" w:color="auto"/>
                <w:left w:val="none" w:sz="0" w:space="0" w:color="auto"/>
                <w:bottom w:val="none" w:sz="0" w:space="0" w:color="auto"/>
                <w:right w:val="none" w:sz="0" w:space="0" w:color="auto"/>
              </w:divBdr>
              <w:divsChild>
                <w:div w:id="54743770">
                  <w:marLeft w:val="0"/>
                  <w:marRight w:val="0"/>
                  <w:marTop w:val="0"/>
                  <w:marBottom w:val="0"/>
                  <w:divBdr>
                    <w:top w:val="none" w:sz="0" w:space="0" w:color="auto"/>
                    <w:left w:val="none" w:sz="0" w:space="0" w:color="auto"/>
                    <w:bottom w:val="none" w:sz="0" w:space="0" w:color="auto"/>
                    <w:right w:val="none" w:sz="0" w:space="0" w:color="auto"/>
                  </w:divBdr>
                  <w:divsChild>
                    <w:div w:id="239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84826">
      <w:bodyDiv w:val="1"/>
      <w:marLeft w:val="0"/>
      <w:marRight w:val="0"/>
      <w:marTop w:val="0"/>
      <w:marBottom w:val="0"/>
      <w:divBdr>
        <w:top w:val="none" w:sz="0" w:space="0" w:color="auto"/>
        <w:left w:val="none" w:sz="0" w:space="0" w:color="auto"/>
        <w:bottom w:val="none" w:sz="0" w:space="0" w:color="auto"/>
        <w:right w:val="none" w:sz="0" w:space="0" w:color="auto"/>
      </w:divBdr>
      <w:divsChild>
        <w:div w:id="873494535">
          <w:marLeft w:val="0"/>
          <w:marRight w:val="0"/>
          <w:marTop w:val="0"/>
          <w:marBottom w:val="0"/>
          <w:divBdr>
            <w:top w:val="none" w:sz="0" w:space="0" w:color="auto"/>
            <w:left w:val="none" w:sz="0" w:space="0" w:color="auto"/>
            <w:bottom w:val="none" w:sz="0" w:space="0" w:color="auto"/>
            <w:right w:val="none" w:sz="0" w:space="0" w:color="auto"/>
          </w:divBdr>
          <w:divsChild>
            <w:div w:id="1056899580">
              <w:marLeft w:val="0"/>
              <w:marRight w:val="0"/>
              <w:marTop w:val="0"/>
              <w:marBottom w:val="0"/>
              <w:divBdr>
                <w:top w:val="none" w:sz="0" w:space="0" w:color="auto"/>
                <w:left w:val="none" w:sz="0" w:space="0" w:color="auto"/>
                <w:bottom w:val="none" w:sz="0" w:space="0" w:color="auto"/>
                <w:right w:val="none" w:sz="0" w:space="0" w:color="auto"/>
              </w:divBdr>
              <w:divsChild>
                <w:div w:id="1964728538">
                  <w:marLeft w:val="0"/>
                  <w:marRight w:val="0"/>
                  <w:marTop w:val="0"/>
                  <w:marBottom w:val="0"/>
                  <w:divBdr>
                    <w:top w:val="none" w:sz="0" w:space="0" w:color="auto"/>
                    <w:left w:val="none" w:sz="0" w:space="0" w:color="auto"/>
                    <w:bottom w:val="none" w:sz="0" w:space="0" w:color="auto"/>
                    <w:right w:val="none" w:sz="0" w:space="0" w:color="auto"/>
                  </w:divBdr>
                  <w:divsChild>
                    <w:div w:id="120359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81335">
      <w:bodyDiv w:val="1"/>
      <w:marLeft w:val="0"/>
      <w:marRight w:val="0"/>
      <w:marTop w:val="0"/>
      <w:marBottom w:val="0"/>
      <w:divBdr>
        <w:top w:val="none" w:sz="0" w:space="0" w:color="auto"/>
        <w:left w:val="none" w:sz="0" w:space="0" w:color="auto"/>
        <w:bottom w:val="none" w:sz="0" w:space="0" w:color="auto"/>
        <w:right w:val="none" w:sz="0" w:space="0" w:color="auto"/>
      </w:divBdr>
      <w:divsChild>
        <w:div w:id="1674642460">
          <w:marLeft w:val="0"/>
          <w:marRight w:val="0"/>
          <w:marTop w:val="0"/>
          <w:marBottom w:val="0"/>
          <w:divBdr>
            <w:top w:val="none" w:sz="0" w:space="0" w:color="auto"/>
            <w:left w:val="none" w:sz="0" w:space="0" w:color="auto"/>
            <w:bottom w:val="none" w:sz="0" w:space="0" w:color="auto"/>
            <w:right w:val="none" w:sz="0" w:space="0" w:color="auto"/>
          </w:divBdr>
          <w:divsChild>
            <w:div w:id="712195189">
              <w:marLeft w:val="0"/>
              <w:marRight w:val="0"/>
              <w:marTop w:val="0"/>
              <w:marBottom w:val="0"/>
              <w:divBdr>
                <w:top w:val="none" w:sz="0" w:space="0" w:color="auto"/>
                <w:left w:val="none" w:sz="0" w:space="0" w:color="auto"/>
                <w:bottom w:val="none" w:sz="0" w:space="0" w:color="auto"/>
                <w:right w:val="none" w:sz="0" w:space="0" w:color="auto"/>
              </w:divBdr>
              <w:divsChild>
                <w:div w:id="1675762280">
                  <w:marLeft w:val="0"/>
                  <w:marRight w:val="0"/>
                  <w:marTop w:val="0"/>
                  <w:marBottom w:val="0"/>
                  <w:divBdr>
                    <w:top w:val="none" w:sz="0" w:space="0" w:color="auto"/>
                    <w:left w:val="none" w:sz="0" w:space="0" w:color="auto"/>
                    <w:bottom w:val="none" w:sz="0" w:space="0" w:color="auto"/>
                    <w:right w:val="none" w:sz="0" w:space="0" w:color="auto"/>
                  </w:divBdr>
                  <w:divsChild>
                    <w:div w:id="11779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74549">
      <w:bodyDiv w:val="1"/>
      <w:marLeft w:val="0"/>
      <w:marRight w:val="0"/>
      <w:marTop w:val="0"/>
      <w:marBottom w:val="0"/>
      <w:divBdr>
        <w:top w:val="none" w:sz="0" w:space="0" w:color="auto"/>
        <w:left w:val="none" w:sz="0" w:space="0" w:color="auto"/>
        <w:bottom w:val="none" w:sz="0" w:space="0" w:color="auto"/>
        <w:right w:val="none" w:sz="0" w:space="0" w:color="auto"/>
      </w:divBdr>
      <w:divsChild>
        <w:div w:id="509878696">
          <w:marLeft w:val="0"/>
          <w:marRight w:val="0"/>
          <w:marTop w:val="0"/>
          <w:marBottom w:val="0"/>
          <w:divBdr>
            <w:top w:val="none" w:sz="0" w:space="0" w:color="auto"/>
            <w:left w:val="none" w:sz="0" w:space="0" w:color="auto"/>
            <w:bottom w:val="none" w:sz="0" w:space="0" w:color="auto"/>
            <w:right w:val="none" w:sz="0" w:space="0" w:color="auto"/>
          </w:divBdr>
          <w:divsChild>
            <w:div w:id="2003700547">
              <w:marLeft w:val="0"/>
              <w:marRight w:val="0"/>
              <w:marTop w:val="0"/>
              <w:marBottom w:val="0"/>
              <w:divBdr>
                <w:top w:val="none" w:sz="0" w:space="0" w:color="auto"/>
                <w:left w:val="none" w:sz="0" w:space="0" w:color="auto"/>
                <w:bottom w:val="none" w:sz="0" w:space="0" w:color="auto"/>
                <w:right w:val="none" w:sz="0" w:space="0" w:color="auto"/>
              </w:divBdr>
              <w:divsChild>
                <w:div w:id="104198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32006">
      <w:bodyDiv w:val="1"/>
      <w:marLeft w:val="0"/>
      <w:marRight w:val="0"/>
      <w:marTop w:val="0"/>
      <w:marBottom w:val="0"/>
      <w:divBdr>
        <w:top w:val="none" w:sz="0" w:space="0" w:color="auto"/>
        <w:left w:val="none" w:sz="0" w:space="0" w:color="auto"/>
        <w:bottom w:val="none" w:sz="0" w:space="0" w:color="auto"/>
        <w:right w:val="none" w:sz="0" w:space="0" w:color="auto"/>
      </w:divBdr>
    </w:div>
    <w:div w:id="1128232845">
      <w:bodyDiv w:val="1"/>
      <w:marLeft w:val="0"/>
      <w:marRight w:val="0"/>
      <w:marTop w:val="0"/>
      <w:marBottom w:val="0"/>
      <w:divBdr>
        <w:top w:val="none" w:sz="0" w:space="0" w:color="auto"/>
        <w:left w:val="none" w:sz="0" w:space="0" w:color="auto"/>
        <w:bottom w:val="none" w:sz="0" w:space="0" w:color="auto"/>
        <w:right w:val="none" w:sz="0" w:space="0" w:color="auto"/>
      </w:divBdr>
      <w:divsChild>
        <w:div w:id="863058586">
          <w:marLeft w:val="0"/>
          <w:marRight w:val="0"/>
          <w:marTop w:val="0"/>
          <w:marBottom w:val="0"/>
          <w:divBdr>
            <w:top w:val="none" w:sz="0" w:space="0" w:color="auto"/>
            <w:left w:val="none" w:sz="0" w:space="0" w:color="auto"/>
            <w:bottom w:val="none" w:sz="0" w:space="0" w:color="auto"/>
            <w:right w:val="none" w:sz="0" w:space="0" w:color="auto"/>
          </w:divBdr>
          <w:divsChild>
            <w:div w:id="1605190815">
              <w:marLeft w:val="0"/>
              <w:marRight w:val="0"/>
              <w:marTop w:val="0"/>
              <w:marBottom w:val="0"/>
              <w:divBdr>
                <w:top w:val="none" w:sz="0" w:space="0" w:color="auto"/>
                <w:left w:val="none" w:sz="0" w:space="0" w:color="auto"/>
                <w:bottom w:val="none" w:sz="0" w:space="0" w:color="auto"/>
                <w:right w:val="none" w:sz="0" w:space="0" w:color="auto"/>
              </w:divBdr>
              <w:divsChild>
                <w:div w:id="618143188">
                  <w:marLeft w:val="0"/>
                  <w:marRight w:val="0"/>
                  <w:marTop w:val="0"/>
                  <w:marBottom w:val="0"/>
                  <w:divBdr>
                    <w:top w:val="none" w:sz="0" w:space="0" w:color="auto"/>
                    <w:left w:val="none" w:sz="0" w:space="0" w:color="auto"/>
                    <w:bottom w:val="none" w:sz="0" w:space="0" w:color="auto"/>
                    <w:right w:val="none" w:sz="0" w:space="0" w:color="auto"/>
                  </w:divBdr>
                  <w:divsChild>
                    <w:div w:id="20564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590567">
      <w:bodyDiv w:val="1"/>
      <w:marLeft w:val="0"/>
      <w:marRight w:val="0"/>
      <w:marTop w:val="0"/>
      <w:marBottom w:val="0"/>
      <w:divBdr>
        <w:top w:val="none" w:sz="0" w:space="0" w:color="auto"/>
        <w:left w:val="none" w:sz="0" w:space="0" w:color="auto"/>
        <w:bottom w:val="none" w:sz="0" w:space="0" w:color="auto"/>
        <w:right w:val="none" w:sz="0" w:space="0" w:color="auto"/>
      </w:divBdr>
      <w:divsChild>
        <w:div w:id="280067666">
          <w:marLeft w:val="0"/>
          <w:marRight w:val="0"/>
          <w:marTop w:val="0"/>
          <w:marBottom w:val="0"/>
          <w:divBdr>
            <w:top w:val="none" w:sz="0" w:space="0" w:color="auto"/>
            <w:left w:val="none" w:sz="0" w:space="0" w:color="auto"/>
            <w:bottom w:val="none" w:sz="0" w:space="0" w:color="auto"/>
            <w:right w:val="none" w:sz="0" w:space="0" w:color="auto"/>
          </w:divBdr>
          <w:divsChild>
            <w:div w:id="1497721180">
              <w:marLeft w:val="0"/>
              <w:marRight w:val="0"/>
              <w:marTop w:val="0"/>
              <w:marBottom w:val="0"/>
              <w:divBdr>
                <w:top w:val="none" w:sz="0" w:space="0" w:color="auto"/>
                <w:left w:val="none" w:sz="0" w:space="0" w:color="auto"/>
                <w:bottom w:val="none" w:sz="0" w:space="0" w:color="auto"/>
                <w:right w:val="none" w:sz="0" w:space="0" w:color="auto"/>
              </w:divBdr>
              <w:divsChild>
                <w:div w:id="11245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674197">
      <w:bodyDiv w:val="1"/>
      <w:marLeft w:val="0"/>
      <w:marRight w:val="0"/>
      <w:marTop w:val="0"/>
      <w:marBottom w:val="0"/>
      <w:divBdr>
        <w:top w:val="none" w:sz="0" w:space="0" w:color="auto"/>
        <w:left w:val="none" w:sz="0" w:space="0" w:color="auto"/>
        <w:bottom w:val="none" w:sz="0" w:space="0" w:color="auto"/>
        <w:right w:val="none" w:sz="0" w:space="0" w:color="auto"/>
      </w:divBdr>
      <w:divsChild>
        <w:div w:id="398478159">
          <w:marLeft w:val="0"/>
          <w:marRight w:val="0"/>
          <w:marTop w:val="0"/>
          <w:marBottom w:val="0"/>
          <w:divBdr>
            <w:top w:val="none" w:sz="0" w:space="0" w:color="auto"/>
            <w:left w:val="none" w:sz="0" w:space="0" w:color="auto"/>
            <w:bottom w:val="none" w:sz="0" w:space="0" w:color="auto"/>
            <w:right w:val="none" w:sz="0" w:space="0" w:color="auto"/>
          </w:divBdr>
          <w:divsChild>
            <w:div w:id="1360624082">
              <w:marLeft w:val="0"/>
              <w:marRight w:val="0"/>
              <w:marTop w:val="0"/>
              <w:marBottom w:val="0"/>
              <w:divBdr>
                <w:top w:val="none" w:sz="0" w:space="0" w:color="auto"/>
                <w:left w:val="none" w:sz="0" w:space="0" w:color="auto"/>
                <w:bottom w:val="none" w:sz="0" w:space="0" w:color="auto"/>
                <w:right w:val="none" w:sz="0" w:space="0" w:color="auto"/>
              </w:divBdr>
              <w:divsChild>
                <w:div w:id="688876457">
                  <w:marLeft w:val="0"/>
                  <w:marRight w:val="0"/>
                  <w:marTop w:val="0"/>
                  <w:marBottom w:val="0"/>
                  <w:divBdr>
                    <w:top w:val="none" w:sz="0" w:space="0" w:color="auto"/>
                    <w:left w:val="none" w:sz="0" w:space="0" w:color="auto"/>
                    <w:bottom w:val="none" w:sz="0" w:space="0" w:color="auto"/>
                    <w:right w:val="none" w:sz="0" w:space="0" w:color="auto"/>
                  </w:divBdr>
                  <w:divsChild>
                    <w:div w:id="17835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831260">
      <w:bodyDiv w:val="1"/>
      <w:marLeft w:val="0"/>
      <w:marRight w:val="0"/>
      <w:marTop w:val="0"/>
      <w:marBottom w:val="0"/>
      <w:divBdr>
        <w:top w:val="none" w:sz="0" w:space="0" w:color="auto"/>
        <w:left w:val="none" w:sz="0" w:space="0" w:color="auto"/>
        <w:bottom w:val="none" w:sz="0" w:space="0" w:color="auto"/>
        <w:right w:val="none" w:sz="0" w:space="0" w:color="auto"/>
      </w:divBdr>
      <w:divsChild>
        <w:div w:id="460146848">
          <w:marLeft w:val="0"/>
          <w:marRight w:val="0"/>
          <w:marTop w:val="0"/>
          <w:marBottom w:val="0"/>
          <w:divBdr>
            <w:top w:val="none" w:sz="0" w:space="0" w:color="auto"/>
            <w:left w:val="none" w:sz="0" w:space="0" w:color="auto"/>
            <w:bottom w:val="none" w:sz="0" w:space="0" w:color="auto"/>
            <w:right w:val="none" w:sz="0" w:space="0" w:color="auto"/>
          </w:divBdr>
          <w:divsChild>
            <w:div w:id="495800933">
              <w:marLeft w:val="-225"/>
              <w:marRight w:val="-225"/>
              <w:marTop w:val="0"/>
              <w:marBottom w:val="0"/>
              <w:divBdr>
                <w:top w:val="none" w:sz="0" w:space="0" w:color="auto"/>
                <w:left w:val="none" w:sz="0" w:space="0" w:color="auto"/>
                <w:bottom w:val="none" w:sz="0" w:space="0" w:color="auto"/>
                <w:right w:val="none" w:sz="0" w:space="0" w:color="auto"/>
              </w:divBdr>
              <w:divsChild>
                <w:div w:id="1301957932">
                  <w:marLeft w:val="0"/>
                  <w:marRight w:val="0"/>
                  <w:marTop w:val="0"/>
                  <w:marBottom w:val="0"/>
                  <w:divBdr>
                    <w:top w:val="none" w:sz="0" w:space="0" w:color="auto"/>
                    <w:left w:val="none" w:sz="0" w:space="0" w:color="auto"/>
                    <w:bottom w:val="none" w:sz="0" w:space="0" w:color="auto"/>
                    <w:right w:val="none" w:sz="0" w:space="0" w:color="auto"/>
                  </w:divBdr>
                  <w:divsChild>
                    <w:div w:id="719784409">
                      <w:marLeft w:val="0"/>
                      <w:marRight w:val="0"/>
                      <w:marTop w:val="0"/>
                      <w:marBottom w:val="0"/>
                      <w:divBdr>
                        <w:top w:val="none" w:sz="0" w:space="0" w:color="auto"/>
                        <w:left w:val="none" w:sz="0" w:space="0" w:color="auto"/>
                        <w:bottom w:val="none" w:sz="0" w:space="0" w:color="auto"/>
                        <w:right w:val="none" w:sz="0" w:space="0" w:color="auto"/>
                      </w:divBdr>
                      <w:divsChild>
                        <w:div w:id="1685399346">
                          <w:marLeft w:val="0"/>
                          <w:marRight w:val="0"/>
                          <w:marTop w:val="0"/>
                          <w:marBottom w:val="0"/>
                          <w:divBdr>
                            <w:top w:val="none" w:sz="0" w:space="0" w:color="auto"/>
                            <w:left w:val="none" w:sz="0" w:space="0" w:color="auto"/>
                            <w:bottom w:val="none" w:sz="0" w:space="0" w:color="auto"/>
                            <w:right w:val="none" w:sz="0" w:space="0" w:color="auto"/>
                          </w:divBdr>
                          <w:divsChild>
                            <w:div w:id="56054302">
                              <w:marLeft w:val="0"/>
                              <w:marRight w:val="0"/>
                              <w:marTop w:val="0"/>
                              <w:marBottom w:val="0"/>
                              <w:divBdr>
                                <w:top w:val="none" w:sz="0" w:space="0" w:color="auto"/>
                                <w:left w:val="none" w:sz="0" w:space="0" w:color="auto"/>
                                <w:bottom w:val="none" w:sz="0" w:space="0" w:color="auto"/>
                                <w:right w:val="none" w:sz="0" w:space="0" w:color="auto"/>
                              </w:divBdr>
                              <w:divsChild>
                                <w:div w:id="182943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015897">
      <w:bodyDiv w:val="1"/>
      <w:marLeft w:val="0"/>
      <w:marRight w:val="0"/>
      <w:marTop w:val="0"/>
      <w:marBottom w:val="0"/>
      <w:divBdr>
        <w:top w:val="none" w:sz="0" w:space="0" w:color="auto"/>
        <w:left w:val="none" w:sz="0" w:space="0" w:color="auto"/>
        <w:bottom w:val="none" w:sz="0" w:space="0" w:color="auto"/>
        <w:right w:val="none" w:sz="0" w:space="0" w:color="auto"/>
      </w:divBdr>
      <w:divsChild>
        <w:div w:id="550731646">
          <w:marLeft w:val="0"/>
          <w:marRight w:val="0"/>
          <w:marTop w:val="0"/>
          <w:marBottom w:val="0"/>
          <w:divBdr>
            <w:top w:val="none" w:sz="0" w:space="0" w:color="auto"/>
            <w:left w:val="none" w:sz="0" w:space="0" w:color="auto"/>
            <w:bottom w:val="none" w:sz="0" w:space="0" w:color="auto"/>
            <w:right w:val="none" w:sz="0" w:space="0" w:color="auto"/>
          </w:divBdr>
          <w:divsChild>
            <w:div w:id="1067414650">
              <w:marLeft w:val="0"/>
              <w:marRight w:val="0"/>
              <w:marTop w:val="0"/>
              <w:marBottom w:val="0"/>
              <w:divBdr>
                <w:top w:val="none" w:sz="0" w:space="0" w:color="auto"/>
                <w:left w:val="none" w:sz="0" w:space="0" w:color="auto"/>
                <w:bottom w:val="none" w:sz="0" w:space="0" w:color="auto"/>
                <w:right w:val="none" w:sz="0" w:space="0" w:color="auto"/>
              </w:divBdr>
              <w:divsChild>
                <w:div w:id="1062370167">
                  <w:marLeft w:val="0"/>
                  <w:marRight w:val="0"/>
                  <w:marTop w:val="0"/>
                  <w:marBottom w:val="0"/>
                  <w:divBdr>
                    <w:top w:val="none" w:sz="0" w:space="0" w:color="auto"/>
                    <w:left w:val="none" w:sz="0" w:space="0" w:color="auto"/>
                    <w:bottom w:val="none" w:sz="0" w:space="0" w:color="auto"/>
                    <w:right w:val="none" w:sz="0" w:space="0" w:color="auto"/>
                  </w:divBdr>
                  <w:divsChild>
                    <w:div w:id="16240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860459">
      <w:bodyDiv w:val="1"/>
      <w:marLeft w:val="0"/>
      <w:marRight w:val="0"/>
      <w:marTop w:val="0"/>
      <w:marBottom w:val="0"/>
      <w:divBdr>
        <w:top w:val="none" w:sz="0" w:space="0" w:color="auto"/>
        <w:left w:val="none" w:sz="0" w:space="0" w:color="auto"/>
        <w:bottom w:val="none" w:sz="0" w:space="0" w:color="auto"/>
        <w:right w:val="none" w:sz="0" w:space="0" w:color="auto"/>
      </w:divBdr>
      <w:divsChild>
        <w:div w:id="996147715">
          <w:marLeft w:val="0"/>
          <w:marRight w:val="0"/>
          <w:marTop w:val="0"/>
          <w:marBottom w:val="0"/>
          <w:divBdr>
            <w:top w:val="none" w:sz="0" w:space="0" w:color="auto"/>
            <w:left w:val="none" w:sz="0" w:space="0" w:color="auto"/>
            <w:bottom w:val="none" w:sz="0" w:space="0" w:color="auto"/>
            <w:right w:val="none" w:sz="0" w:space="0" w:color="auto"/>
          </w:divBdr>
          <w:divsChild>
            <w:div w:id="1061245135">
              <w:marLeft w:val="-225"/>
              <w:marRight w:val="-225"/>
              <w:marTop w:val="0"/>
              <w:marBottom w:val="0"/>
              <w:divBdr>
                <w:top w:val="none" w:sz="0" w:space="0" w:color="auto"/>
                <w:left w:val="none" w:sz="0" w:space="0" w:color="auto"/>
                <w:bottom w:val="none" w:sz="0" w:space="0" w:color="auto"/>
                <w:right w:val="none" w:sz="0" w:space="0" w:color="auto"/>
              </w:divBdr>
              <w:divsChild>
                <w:div w:id="1783769643">
                  <w:marLeft w:val="0"/>
                  <w:marRight w:val="0"/>
                  <w:marTop w:val="0"/>
                  <w:marBottom w:val="0"/>
                  <w:divBdr>
                    <w:top w:val="none" w:sz="0" w:space="0" w:color="auto"/>
                    <w:left w:val="none" w:sz="0" w:space="0" w:color="auto"/>
                    <w:bottom w:val="none" w:sz="0" w:space="0" w:color="auto"/>
                    <w:right w:val="none" w:sz="0" w:space="0" w:color="auto"/>
                  </w:divBdr>
                  <w:divsChild>
                    <w:div w:id="878905260">
                      <w:marLeft w:val="0"/>
                      <w:marRight w:val="0"/>
                      <w:marTop w:val="0"/>
                      <w:marBottom w:val="0"/>
                      <w:divBdr>
                        <w:top w:val="none" w:sz="0" w:space="0" w:color="auto"/>
                        <w:left w:val="none" w:sz="0" w:space="0" w:color="auto"/>
                        <w:bottom w:val="none" w:sz="0" w:space="0" w:color="auto"/>
                        <w:right w:val="none" w:sz="0" w:space="0" w:color="auto"/>
                      </w:divBdr>
                      <w:divsChild>
                        <w:div w:id="1471439460">
                          <w:marLeft w:val="0"/>
                          <w:marRight w:val="0"/>
                          <w:marTop w:val="0"/>
                          <w:marBottom w:val="0"/>
                          <w:divBdr>
                            <w:top w:val="none" w:sz="0" w:space="0" w:color="auto"/>
                            <w:left w:val="none" w:sz="0" w:space="0" w:color="auto"/>
                            <w:bottom w:val="none" w:sz="0" w:space="0" w:color="auto"/>
                            <w:right w:val="none" w:sz="0" w:space="0" w:color="auto"/>
                          </w:divBdr>
                          <w:divsChild>
                            <w:div w:id="967735136">
                              <w:marLeft w:val="0"/>
                              <w:marRight w:val="0"/>
                              <w:marTop w:val="0"/>
                              <w:marBottom w:val="0"/>
                              <w:divBdr>
                                <w:top w:val="none" w:sz="0" w:space="0" w:color="auto"/>
                                <w:left w:val="none" w:sz="0" w:space="0" w:color="auto"/>
                                <w:bottom w:val="none" w:sz="0" w:space="0" w:color="auto"/>
                                <w:right w:val="none" w:sz="0" w:space="0" w:color="auto"/>
                              </w:divBdr>
                              <w:divsChild>
                                <w:div w:id="682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513174">
      <w:bodyDiv w:val="1"/>
      <w:marLeft w:val="0"/>
      <w:marRight w:val="0"/>
      <w:marTop w:val="0"/>
      <w:marBottom w:val="0"/>
      <w:divBdr>
        <w:top w:val="none" w:sz="0" w:space="0" w:color="auto"/>
        <w:left w:val="none" w:sz="0" w:space="0" w:color="auto"/>
        <w:bottom w:val="none" w:sz="0" w:space="0" w:color="auto"/>
        <w:right w:val="none" w:sz="0" w:space="0" w:color="auto"/>
      </w:divBdr>
      <w:divsChild>
        <w:div w:id="1169516082">
          <w:marLeft w:val="0"/>
          <w:marRight w:val="0"/>
          <w:marTop w:val="0"/>
          <w:marBottom w:val="0"/>
          <w:divBdr>
            <w:top w:val="none" w:sz="0" w:space="0" w:color="auto"/>
            <w:left w:val="none" w:sz="0" w:space="0" w:color="auto"/>
            <w:bottom w:val="none" w:sz="0" w:space="0" w:color="auto"/>
            <w:right w:val="none" w:sz="0" w:space="0" w:color="auto"/>
          </w:divBdr>
          <w:divsChild>
            <w:div w:id="500631641">
              <w:marLeft w:val="0"/>
              <w:marRight w:val="0"/>
              <w:marTop w:val="0"/>
              <w:marBottom w:val="0"/>
              <w:divBdr>
                <w:top w:val="none" w:sz="0" w:space="0" w:color="auto"/>
                <w:left w:val="none" w:sz="0" w:space="0" w:color="auto"/>
                <w:bottom w:val="none" w:sz="0" w:space="0" w:color="auto"/>
                <w:right w:val="none" w:sz="0" w:space="0" w:color="auto"/>
              </w:divBdr>
              <w:divsChild>
                <w:div w:id="1999112563">
                  <w:marLeft w:val="0"/>
                  <w:marRight w:val="0"/>
                  <w:marTop w:val="0"/>
                  <w:marBottom w:val="0"/>
                  <w:divBdr>
                    <w:top w:val="none" w:sz="0" w:space="0" w:color="auto"/>
                    <w:left w:val="none" w:sz="0" w:space="0" w:color="auto"/>
                    <w:bottom w:val="none" w:sz="0" w:space="0" w:color="auto"/>
                    <w:right w:val="none" w:sz="0" w:space="0" w:color="auto"/>
                  </w:divBdr>
                  <w:divsChild>
                    <w:div w:id="10465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34385">
      <w:bodyDiv w:val="1"/>
      <w:marLeft w:val="0"/>
      <w:marRight w:val="0"/>
      <w:marTop w:val="0"/>
      <w:marBottom w:val="0"/>
      <w:divBdr>
        <w:top w:val="none" w:sz="0" w:space="0" w:color="auto"/>
        <w:left w:val="none" w:sz="0" w:space="0" w:color="auto"/>
        <w:bottom w:val="none" w:sz="0" w:space="0" w:color="auto"/>
        <w:right w:val="none" w:sz="0" w:space="0" w:color="auto"/>
      </w:divBdr>
      <w:divsChild>
        <w:div w:id="424349308">
          <w:marLeft w:val="274"/>
          <w:marRight w:val="0"/>
          <w:marTop w:val="0"/>
          <w:marBottom w:val="0"/>
          <w:divBdr>
            <w:top w:val="none" w:sz="0" w:space="0" w:color="auto"/>
            <w:left w:val="none" w:sz="0" w:space="0" w:color="auto"/>
            <w:bottom w:val="none" w:sz="0" w:space="0" w:color="auto"/>
            <w:right w:val="none" w:sz="0" w:space="0" w:color="auto"/>
          </w:divBdr>
        </w:div>
        <w:div w:id="1443383266">
          <w:marLeft w:val="274"/>
          <w:marRight w:val="0"/>
          <w:marTop w:val="0"/>
          <w:marBottom w:val="0"/>
          <w:divBdr>
            <w:top w:val="none" w:sz="0" w:space="0" w:color="auto"/>
            <w:left w:val="none" w:sz="0" w:space="0" w:color="auto"/>
            <w:bottom w:val="none" w:sz="0" w:space="0" w:color="auto"/>
            <w:right w:val="none" w:sz="0" w:space="0" w:color="auto"/>
          </w:divBdr>
        </w:div>
        <w:div w:id="1562718394">
          <w:marLeft w:val="274"/>
          <w:marRight w:val="0"/>
          <w:marTop w:val="0"/>
          <w:marBottom w:val="0"/>
          <w:divBdr>
            <w:top w:val="none" w:sz="0" w:space="0" w:color="auto"/>
            <w:left w:val="none" w:sz="0" w:space="0" w:color="auto"/>
            <w:bottom w:val="none" w:sz="0" w:space="0" w:color="auto"/>
            <w:right w:val="none" w:sz="0" w:space="0" w:color="auto"/>
          </w:divBdr>
        </w:div>
        <w:div w:id="2058041011">
          <w:marLeft w:val="274"/>
          <w:marRight w:val="0"/>
          <w:marTop w:val="0"/>
          <w:marBottom w:val="0"/>
          <w:divBdr>
            <w:top w:val="none" w:sz="0" w:space="0" w:color="auto"/>
            <w:left w:val="none" w:sz="0" w:space="0" w:color="auto"/>
            <w:bottom w:val="none" w:sz="0" w:space="0" w:color="auto"/>
            <w:right w:val="none" w:sz="0" w:space="0" w:color="auto"/>
          </w:divBdr>
        </w:div>
      </w:divsChild>
    </w:div>
    <w:div w:id="1171525937">
      <w:bodyDiv w:val="1"/>
      <w:marLeft w:val="0"/>
      <w:marRight w:val="0"/>
      <w:marTop w:val="0"/>
      <w:marBottom w:val="0"/>
      <w:divBdr>
        <w:top w:val="none" w:sz="0" w:space="0" w:color="auto"/>
        <w:left w:val="none" w:sz="0" w:space="0" w:color="auto"/>
        <w:bottom w:val="none" w:sz="0" w:space="0" w:color="auto"/>
        <w:right w:val="none" w:sz="0" w:space="0" w:color="auto"/>
      </w:divBdr>
      <w:divsChild>
        <w:div w:id="1911961182">
          <w:marLeft w:val="0"/>
          <w:marRight w:val="0"/>
          <w:marTop w:val="0"/>
          <w:marBottom w:val="0"/>
          <w:divBdr>
            <w:top w:val="none" w:sz="0" w:space="0" w:color="auto"/>
            <w:left w:val="none" w:sz="0" w:space="0" w:color="auto"/>
            <w:bottom w:val="none" w:sz="0" w:space="0" w:color="auto"/>
            <w:right w:val="none" w:sz="0" w:space="0" w:color="auto"/>
          </w:divBdr>
          <w:divsChild>
            <w:div w:id="1464539040">
              <w:marLeft w:val="0"/>
              <w:marRight w:val="0"/>
              <w:marTop w:val="0"/>
              <w:marBottom w:val="0"/>
              <w:divBdr>
                <w:top w:val="none" w:sz="0" w:space="0" w:color="auto"/>
                <w:left w:val="none" w:sz="0" w:space="0" w:color="auto"/>
                <w:bottom w:val="none" w:sz="0" w:space="0" w:color="auto"/>
                <w:right w:val="none" w:sz="0" w:space="0" w:color="auto"/>
              </w:divBdr>
              <w:divsChild>
                <w:div w:id="1844279974">
                  <w:marLeft w:val="0"/>
                  <w:marRight w:val="0"/>
                  <w:marTop w:val="0"/>
                  <w:marBottom w:val="0"/>
                  <w:divBdr>
                    <w:top w:val="none" w:sz="0" w:space="0" w:color="auto"/>
                    <w:left w:val="none" w:sz="0" w:space="0" w:color="auto"/>
                    <w:bottom w:val="none" w:sz="0" w:space="0" w:color="auto"/>
                    <w:right w:val="none" w:sz="0" w:space="0" w:color="auto"/>
                  </w:divBdr>
                  <w:divsChild>
                    <w:div w:id="196630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31298">
      <w:bodyDiv w:val="1"/>
      <w:marLeft w:val="0"/>
      <w:marRight w:val="0"/>
      <w:marTop w:val="0"/>
      <w:marBottom w:val="0"/>
      <w:divBdr>
        <w:top w:val="none" w:sz="0" w:space="0" w:color="auto"/>
        <w:left w:val="none" w:sz="0" w:space="0" w:color="auto"/>
        <w:bottom w:val="none" w:sz="0" w:space="0" w:color="auto"/>
        <w:right w:val="none" w:sz="0" w:space="0" w:color="auto"/>
      </w:divBdr>
      <w:divsChild>
        <w:div w:id="684744292">
          <w:marLeft w:val="0"/>
          <w:marRight w:val="0"/>
          <w:marTop w:val="0"/>
          <w:marBottom w:val="0"/>
          <w:divBdr>
            <w:top w:val="none" w:sz="0" w:space="0" w:color="auto"/>
            <w:left w:val="none" w:sz="0" w:space="0" w:color="auto"/>
            <w:bottom w:val="none" w:sz="0" w:space="0" w:color="auto"/>
            <w:right w:val="none" w:sz="0" w:space="0" w:color="auto"/>
          </w:divBdr>
          <w:divsChild>
            <w:div w:id="507869784">
              <w:marLeft w:val="0"/>
              <w:marRight w:val="0"/>
              <w:marTop w:val="0"/>
              <w:marBottom w:val="0"/>
              <w:divBdr>
                <w:top w:val="none" w:sz="0" w:space="0" w:color="auto"/>
                <w:left w:val="none" w:sz="0" w:space="0" w:color="auto"/>
                <w:bottom w:val="none" w:sz="0" w:space="0" w:color="auto"/>
                <w:right w:val="none" w:sz="0" w:space="0" w:color="auto"/>
              </w:divBdr>
              <w:divsChild>
                <w:div w:id="870804802">
                  <w:marLeft w:val="0"/>
                  <w:marRight w:val="0"/>
                  <w:marTop w:val="0"/>
                  <w:marBottom w:val="0"/>
                  <w:divBdr>
                    <w:top w:val="none" w:sz="0" w:space="0" w:color="auto"/>
                    <w:left w:val="none" w:sz="0" w:space="0" w:color="auto"/>
                    <w:bottom w:val="none" w:sz="0" w:space="0" w:color="auto"/>
                    <w:right w:val="none" w:sz="0" w:space="0" w:color="auto"/>
                  </w:divBdr>
                  <w:divsChild>
                    <w:div w:id="6188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035978">
      <w:bodyDiv w:val="1"/>
      <w:marLeft w:val="0"/>
      <w:marRight w:val="0"/>
      <w:marTop w:val="0"/>
      <w:marBottom w:val="0"/>
      <w:divBdr>
        <w:top w:val="none" w:sz="0" w:space="0" w:color="auto"/>
        <w:left w:val="none" w:sz="0" w:space="0" w:color="auto"/>
        <w:bottom w:val="none" w:sz="0" w:space="0" w:color="auto"/>
        <w:right w:val="none" w:sz="0" w:space="0" w:color="auto"/>
      </w:divBdr>
      <w:divsChild>
        <w:div w:id="609623440">
          <w:marLeft w:val="994"/>
          <w:marRight w:val="0"/>
          <w:marTop w:val="0"/>
          <w:marBottom w:val="0"/>
          <w:divBdr>
            <w:top w:val="none" w:sz="0" w:space="0" w:color="auto"/>
            <w:left w:val="none" w:sz="0" w:space="0" w:color="auto"/>
            <w:bottom w:val="none" w:sz="0" w:space="0" w:color="auto"/>
            <w:right w:val="none" w:sz="0" w:space="0" w:color="auto"/>
          </w:divBdr>
        </w:div>
        <w:div w:id="641497936">
          <w:marLeft w:val="446"/>
          <w:marRight w:val="0"/>
          <w:marTop w:val="0"/>
          <w:marBottom w:val="0"/>
          <w:divBdr>
            <w:top w:val="none" w:sz="0" w:space="0" w:color="auto"/>
            <w:left w:val="none" w:sz="0" w:space="0" w:color="auto"/>
            <w:bottom w:val="none" w:sz="0" w:space="0" w:color="auto"/>
            <w:right w:val="none" w:sz="0" w:space="0" w:color="auto"/>
          </w:divBdr>
        </w:div>
        <w:div w:id="804080528">
          <w:marLeft w:val="446"/>
          <w:marRight w:val="0"/>
          <w:marTop w:val="0"/>
          <w:marBottom w:val="0"/>
          <w:divBdr>
            <w:top w:val="none" w:sz="0" w:space="0" w:color="auto"/>
            <w:left w:val="none" w:sz="0" w:space="0" w:color="auto"/>
            <w:bottom w:val="none" w:sz="0" w:space="0" w:color="auto"/>
            <w:right w:val="none" w:sz="0" w:space="0" w:color="auto"/>
          </w:divBdr>
        </w:div>
        <w:div w:id="816000026">
          <w:marLeft w:val="994"/>
          <w:marRight w:val="0"/>
          <w:marTop w:val="0"/>
          <w:marBottom w:val="0"/>
          <w:divBdr>
            <w:top w:val="none" w:sz="0" w:space="0" w:color="auto"/>
            <w:left w:val="none" w:sz="0" w:space="0" w:color="auto"/>
            <w:bottom w:val="none" w:sz="0" w:space="0" w:color="auto"/>
            <w:right w:val="none" w:sz="0" w:space="0" w:color="auto"/>
          </w:divBdr>
        </w:div>
        <w:div w:id="905336534">
          <w:marLeft w:val="446"/>
          <w:marRight w:val="0"/>
          <w:marTop w:val="0"/>
          <w:marBottom w:val="0"/>
          <w:divBdr>
            <w:top w:val="none" w:sz="0" w:space="0" w:color="auto"/>
            <w:left w:val="none" w:sz="0" w:space="0" w:color="auto"/>
            <w:bottom w:val="none" w:sz="0" w:space="0" w:color="auto"/>
            <w:right w:val="none" w:sz="0" w:space="0" w:color="auto"/>
          </w:divBdr>
        </w:div>
        <w:div w:id="1545866495">
          <w:marLeft w:val="446"/>
          <w:marRight w:val="0"/>
          <w:marTop w:val="0"/>
          <w:marBottom w:val="0"/>
          <w:divBdr>
            <w:top w:val="none" w:sz="0" w:space="0" w:color="auto"/>
            <w:left w:val="none" w:sz="0" w:space="0" w:color="auto"/>
            <w:bottom w:val="none" w:sz="0" w:space="0" w:color="auto"/>
            <w:right w:val="none" w:sz="0" w:space="0" w:color="auto"/>
          </w:divBdr>
        </w:div>
        <w:div w:id="1586960621">
          <w:marLeft w:val="994"/>
          <w:marRight w:val="0"/>
          <w:marTop w:val="0"/>
          <w:marBottom w:val="0"/>
          <w:divBdr>
            <w:top w:val="none" w:sz="0" w:space="0" w:color="auto"/>
            <w:left w:val="none" w:sz="0" w:space="0" w:color="auto"/>
            <w:bottom w:val="none" w:sz="0" w:space="0" w:color="auto"/>
            <w:right w:val="none" w:sz="0" w:space="0" w:color="auto"/>
          </w:divBdr>
        </w:div>
        <w:div w:id="1932084208">
          <w:marLeft w:val="994"/>
          <w:marRight w:val="0"/>
          <w:marTop w:val="0"/>
          <w:marBottom w:val="0"/>
          <w:divBdr>
            <w:top w:val="none" w:sz="0" w:space="0" w:color="auto"/>
            <w:left w:val="none" w:sz="0" w:space="0" w:color="auto"/>
            <w:bottom w:val="none" w:sz="0" w:space="0" w:color="auto"/>
            <w:right w:val="none" w:sz="0" w:space="0" w:color="auto"/>
          </w:divBdr>
        </w:div>
      </w:divsChild>
    </w:div>
    <w:div w:id="1200777442">
      <w:bodyDiv w:val="1"/>
      <w:marLeft w:val="0"/>
      <w:marRight w:val="0"/>
      <w:marTop w:val="0"/>
      <w:marBottom w:val="0"/>
      <w:divBdr>
        <w:top w:val="none" w:sz="0" w:space="0" w:color="auto"/>
        <w:left w:val="none" w:sz="0" w:space="0" w:color="auto"/>
        <w:bottom w:val="none" w:sz="0" w:space="0" w:color="auto"/>
        <w:right w:val="none" w:sz="0" w:space="0" w:color="auto"/>
      </w:divBdr>
    </w:div>
    <w:div w:id="1203522069">
      <w:bodyDiv w:val="1"/>
      <w:marLeft w:val="0"/>
      <w:marRight w:val="0"/>
      <w:marTop w:val="0"/>
      <w:marBottom w:val="0"/>
      <w:divBdr>
        <w:top w:val="none" w:sz="0" w:space="0" w:color="auto"/>
        <w:left w:val="none" w:sz="0" w:space="0" w:color="auto"/>
        <w:bottom w:val="none" w:sz="0" w:space="0" w:color="auto"/>
        <w:right w:val="none" w:sz="0" w:space="0" w:color="auto"/>
      </w:divBdr>
      <w:divsChild>
        <w:div w:id="829902055">
          <w:marLeft w:val="0"/>
          <w:marRight w:val="0"/>
          <w:marTop w:val="0"/>
          <w:marBottom w:val="0"/>
          <w:divBdr>
            <w:top w:val="none" w:sz="0" w:space="0" w:color="auto"/>
            <w:left w:val="none" w:sz="0" w:space="0" w:color="auto"/>
            <w:bottom w:val="none" w:sz="0" w:space="0" w:color="auto"/>
            <w:right w:val="none" w:sz="0" w:space="0" w:color="auto"/>
          </w:divBdr>
          <w:divsChild>
            <w:div w:id="1271932218">
              <w:marLeft w:val="0"/>
              <w:marRight w:val="0"/>
              <w:marTop w:val="0"/>
              <w:marBottom w:val="0"/>
              <w:divBdr>
                <w:top w:val="none" w:sz="0" w:space="0" w:color="auto"/>
                <w:left w:val="none" w:sz="0" w:space="0" w:color="auto"/>
                <w:bottom w:val="none" w:sz="0" w:space="0" w:color="auto"/>
                <w:right w:val="none" w:sz="0" w:space="0" w:color="auto"/>
              </w:divBdr>
              <w:divsChild>
                <w:div w:id="17360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57928">
      <w:bodyDiv w:val="1"/>
      <w:marLeft w:val="0"/>
      <w:marRight w:val="0"/>
      <w:marTop w:val="0"/>
      <w:marBottom w:val="0"/>
      <w:divBdr>
        <w:top w:val="none" w:sz="0" w:space="0" w:color="auto"/>
        <w:left w:val="none" w:sz="0" w:space="0" w:color="auto"/>
        <w:bottom w:val="none" w:sz="0" w:space="0" w:color="auto"/>
        <w:right w:val="none" w:sz="0" w:space="0" w:color="auto"/>
      </w:divBdr>
      <w:divsChild>
        <w:div w:id="334038781">
          <w:marLeft w:val="446"/>
          <w:marRight w:val="0"/>
          <w:marTop w:val="0"/>
          <w:marBottom w:val="120"/>
          <w:divBdr>
            <w:top w:val="none" w:sz="0" w:space="0" w:color="auto"/>
            <w:left w:val="none" w:sz="0" w:space="0" w:color="auto"/>
            <w:bottom w:val="none" w:sz="0" w:space="0" w:color="auto"/>
            <w:right w:val="none" w:sz="0" w:space="0" w:color="auto"/>
          </w:divBdr>
        </w:div>
        <w:div w:id="919874120">
          <w:marLeft w:val="446"/>
          <w:marRight w:val="0"/>
          <w:marTop w:val="0"/>
          <w:marBottom w:val="120"/>
          <w:divBdr>
            <w:top w:val="none" w:sz="0" w:space="0" w:color="auto"/>
            <w:left w:val="none" w:sz="0" w:space="0" w:color="auto"/>
            <w:bottom w:val="none" w:sz="0" w:space="0" w:color="auto"/>
            <w:right w:val="none" w:sz="0" w:space="0" w:color="auto"/>
          </w:divBdr>
        </w:div>
        <w:div w:id="1231501401">
          <w:marLeft w:val="446"/>
          <w:marRight w:val="0"/>
          <w:marTop w:val="0"/>
          <w:marBottom w:val="120"/>
          <w:divBdr>
            <w:top w:val="none" w:sz="0" w:space="0" w:color="auto"/>
            <w:left w:val="none" w:sz="0" w:space="0" w:color="auto"/>
            <w:bottom w:val="none" w:sz="0" w:space="0" w:color="auto"/>
            <w:right w:val="none" w:sz="0" w:space="0" w:color="auto"/>
          </w:divBdr>
        </w:div>
        <w:div w:id="1789352715">
          <w:marLeft w:val="446"/>
          <w:marRight w:val="0"/>
          <w:marTop w:val="0"/>
          <w:marBottom w:val="120"/>
          <w:divBdr>
            <w:top w:val="none" w:sz="0" w:space="0" w:color="auto"/>
            <w:left w:val="none" w:sz="0" w:space="0" w:color="auto"/>
            <w:bottom w:val="none" w:sz="0" w:space="0" w:color="auto"/>
            <w:right w:val="none" w:sz="0" w:space="0" w:color="auto"/>
          </w:divBdr>
        </w:div>
      </w:divsChild>
    </w:div>
    <w:div w:id="1215002709">
      <w:bodyDiv w:val="1"/>
      <w:marLeft w:val="0"/>
      <w:marRight w:val="0"/>
      <w:marTop w:val="0"/>
      <w:marBottom w:val="0"/>
      <w:divBdr>
        <w:top w:val="none" w:sz="0" w:space="0" w:color="auto"/>
        <w:left w:val="none" w:sz="0" w:space="0" w:color="auto"/>
        <w:bottom w:val="none" w:sz="0" w:space="0" w:color="auto"/>
        <w:right w:val="none" w:sz="0" w:space="0" w:color="auto"/>
      </w:divBdr>
      <w:divsChild>
        <w:div w:id="1825002440">
          <w:marLeft w:val="0"/>
          <w:marRight w:val="0"/>
          <w:marTop w:val="0"/>
          <w:marBottom w:val="0"/>
          <w:divBdr>
            <w:top w:val="none" w:sz="0" w:space="0" w:color="auto"/>
            <w:left w:val="none" w:sz="0" w:space="0" w:color="auto"/>
            <w:bottom w:val="none" w:sz="0" w:space="0" w:color="auto"/>
            <w:right w:val="none" w:sz="0" w:space="0" w:color="auto"/>
          </w:divBdr>
          <w:divsChild>
            <w:div w:id="2086343761">
              <w:marLeft w:val="0"/>
              <w:marRight w:val="0"/>
              <w:marTop w:val="0"/>
              <w:marBottom w:val="0"/>
              <w:divBdr>
                <w:top w:val="none" w:sz="0" w:space="0" w:color="auto"/>
                <w:left w:val="none" w:sz="0" w:space="0" w:color="auto"/>
                <w:bottom w:val="none" w:sz="0" w:space="0" w:color="auto"/>
                <w:right w:val="none" w:sz="0" w:space="0" w:color="auto"/>
              </w:divBdr>
              <w:divsChild>
                <w:div w:id="825051738">
                  <w:marLeft w:val="0"/>
                  <w:marRight w:val="0"/>
                  <w:marTop w:val="0"/>
                  <w:marBottom w:val="0"/>
                  <w:divBdr>
                    <w:top w:val="none" w:sz="0" w:space="0" w:color="auto"/>
                    <w:left w:val="none" w:sz="0" w:space="0" w:color="auto"/>
                    <w:bottom w:val="none" w:sz="0" w:space="0" w:color="auto"/>
                    <w:right w:val="none" w:sz="0" w:space="0" w:color="auto"/>
                  </w:divBdr>
                  <w:divsChild>
                    <w:div w:id="17354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779661">
      <w:bodyDiv w:val="1"/>
      <w:marLeft w:val="0"/>
      <w:marRight w:val="0"/>
      <w:marTop w:val="0"/>
      <w:marBottom w:val="0"/>
      <w:divBdr>
        <w:top w:val="none" w:sz="0" w:space="0" w:color="auto"/>
        <w:left w:val="none" w:sz="0" w:space="0" w:color="auto"/>
        <w:bottom w:val="none" w:sz="0" w:space="0" w:color="auto"/>
        <w:right w:val="none" w:sz="0" w:space="0" w:color="auto"/>
      </w:divBdr>
      <w:divsChild>
        <w:div w:id="1229533810">
          <w:marLeft w:val="0"/>
          <w:marRight w:val="0"/>
          <w:marTop w:val="0"/>
          <w:marBottom w:val="0"/>
          <w:divBdr>
            <w:top w:val="none" w:sz="0" w:space="0" w:color="auto"/>
            <w:left w:val="none" w:sz="0" w:space="0" w:color="auto"/>
            <w:bottom w:val="none" w:sz="0" w:space="0" w:color="auto"/>
            <w:right w:val="none" w:sz="0" w:space="0" w:color="auto"/>
          </w:divBdr>
          <w:divsChild>
            <w:div w:id="1339427159">
              <w:marLeft w:val="0"/>
              <w:marRight w:val="0"/>
              <w:marTop w:val="0"/>
              <w:marBottom w:val="0"/>
              <w:divBdr>
                <w:top w:val="none" w:sz="0" w:space="0" w:color="auto"/>
                <w:left w:val="none" w:sz="0" w:space="0" w:color="auto"/>
                <w:bottom w:val="none" w:sz="0" w:space="0" w:color="auto"/>
                <w:right w:val="none" w:sz="0" w:space="0" w:color="auto"/>
              </w:divBdr>
              <w:divsChild>
                <w:div w:id="538393129">
                  <w:marLeft w:val="0"/>
                  <w:marRight w:val="0"/>
                  <w:marTop w:val="0"/>
                  <w:marBottom w:val="0"/>
                  <w:divBdr>
                    <w:top w:val="none" w:sz="0" w:space="0" w:color="auto"/>
                    <w:left w:val="none" w:sz="0" w:space="0" w:color="auto"/>
                    <w:bottom w:val="none" w:sz="0" w:space="0" w:color="auto"/>
                    <w:right w:val="none" w:sz="0" w:space="0" w:color="auto"/>
                  </w:divBdr>
                  <w:divsChild>
                    <w:div w:id="8420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691">
      <w:bodyDiv w:val="1"/>
      <w:marLeft w:val="0"/>
      <w:marRight w:val="0"/>
      <w:marTop w:val="0"/>
      <w:marBottom w:val="0"/>
      <w:divBdr>
        <w:top w:val="none" w:sz="0" w:space="0" w:color="auto"/>
        <w:left w:val="none" w:sz="0" w:space="0" w:color="auto"/>
        <w:bottom w:val="none" w:sz="0" w:space="0" w:color="auto"/>
        <w:right w:val="none" w:sz="0" w:space="0" w:color="auto"/>
      </w:divBdr>
      <w:divsChild>
        <w:div w:id="279917924">
          <w:marLeft w:val="0"/>
          <w:marRight w:val="0"/>
          <w:marTop w:val="0"/>
          <w:marBottom w:val="0"/>
          <w:divBdr>
            <w:top w:val="none" w:sz="0" w:space="0" w:color="auto"/>
            <w:left w:val="none" w:sz="0" w:space="0" w:color="auto"/>
            <w:bottom w:val="none" w:sz="0" w:space="0" w:color="auto"/>
            <w:right w:val="none" w:sz="0" w:space="0" w:color="auto"/>
          </w:divBdr>
          <w:divsChild>
            <w:div w:id="663631466">
              <w:marLeft w:val="0"/>
              <w:marRight w:val="0"/>
              <w:marTop w:val="0"/>
              <w:marBottom w:val="0"/>
              <w:divBdr>
                <w:top w:val="none" w:sz="0" w:space="0" w:color="auto"/>
                <w:left w:val="none" w:sz="0" w:space="0" w:color="auto"/>
                <w:bottom w:val="none" w:sz="0" w:space="0" w:color="auto"/>
                <w:right w:val="none" w:sz="0" w:space="0" w:color="auto"/>
              </w:divBdr>
              <w:divsChild>
                <w:div w:id="1354458117">
                  <w:marLeft w:val="0"/>
                  <w:marRight w:val="0"/>
                  <w:marTop w:val="0"/>
                  <w:marBottom w:val="0"/>
                  <w:divBdr>
                    <w:top w:val="none" w:sz="0" w:space="0" w:color="auto"/>
                    <w:left w:val="none" w:sz="0" w:space="0" w:color="auto"/>
                    <w:bottom w:val="none" w:sz="0" w:space="0" w:color="auto"/>
                    <w:right w:val="none" w:sz="0" w:space="0" w:color="auto"/>
                  </w:divBdr>
                  <w:divsChild>
                    <w:div w:id="9826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140655">
      <w:bodyDiv w:val="1"/>
      <w:marLeft w:val="0"/>
      <w:marRight w:val="0"/>
      <w:marTop w:val="0"/>
      <w:marBottom w:val="0"/>
      <w:divBdr>
        <w:top w:val="none" w:sz="0" w:space="0" w:color="auto"/>
        <w:left w:val="none" w:sz="0" w:space="0" w:color="auto"/>
        <w:bottom w:val="none" w:sz="0" w:space="0" w:color="auto"/>
        <w:right w:val="none" w:sz="0" w:space="0" w:color="auto"/>
      </w:divBdr>
      <w:divsChild>
        <w:div w:id="1776092716">
          <w:marLeft w:val="0"/>
          <w:marRight w:val="0"/>
          <w:marTop w:val="0"/>
          <w:marBottom w:val="0"/>
          <w:divBdr>
            <w:top w:val="none" w:sz="0" w:space="0" w:color="auto"/>
            <w:left w:val="none" w:sz="0" w:space="0" w:color="auto"/>
            <w:bottom w:val="none" w:sz="0" w:space="0" w:color="auto"/>
            <w:right w:val="none" w:sz="0" w:space="0" w:color="auto"/>
          </w:divBdr>
          <w:divsChild>
            <w:div w:id="1507553571">
              <w:marLeft w:val="0"/>
              <w:marRight w:val="0"/>
              <w:marTop w:val="0"/>
              <w:marBottom w:val="0"/>
              <w:divBdr>
                <w:top w:val="none" w:sz="0" w:space="0" w:color="auto"/>
                <w:left w:val="none" w:sz="0" w:space="0" w:color="auto"/>
                <w:bottom w:val="none" w:sz="0" w:space="0" w:color="auto"/>
                <w:right w:val="none" w:sz="0" w:space="0" w:color="auto"/>
              </w:divBdr>
              <w:divsChild>
                <w:div w:id="4978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6081">
      <w:bodyDiv w:val="1"/>
      <w:marLeft w:val="0"/>
      <w:marRight w:val="0"/>
      <w:marTop w:val="0"/>
      <w:marBottom w:val="0"/>
      <w:divBdr>
        <w:top w:val="none" w:sz="0" w:space="0" w:color="auto"/>
        <w:left w:val="none" w:sz="0" w:space="0" w:color="auto"/>
        <w:bottom w:val="none" w:sz="0" w:space="0" w:color="auto"/>
        <w:right w:val="none" w:sz="0" w:space="0" w:color="auto"/>
      </w:divBdr>
    </w:div>
    <w:div w:id="1313830160">
      <w:bodyDiv w:val="1"/>
      <w:marLeft w:val="0"/>
      <w:marRight w:val="0"/>
      <w:marTop w:val="0"/>
      <w:marBottom w:val="0"/>
      <w:divBdr>
        <w:top w:val="none" w:sz="0" w:space="0" w:color="auto"/>
        <w:left w:val="none" w:sz="0" w:space="0" w:color="auto"/>
        <w:bottom w:val="none" w:sz="0" w:space="0" w:color="auto"/>
        <w:right w:val="none" w:sz="0" w:space="0" w:color="auto"/>
      </w:divBdr>
      <w:divsChild>
        <w:div w:id="694966780">
          <w:marLeft w:val="0"/>
          <w:marRight w:val="0"/>
          <w:marTop w:val="0"/>
          <w:marBottom w:val="0"/>
          <w:divBdr>
            <w:top w:val="none" w:sz="0" w:space="0" w:color="auto"/>
            <w:left w:val="none" w:sz="0" w:space="0" w:color="auto"/>
            <w:bottom w:val="none" w:sz="0" w:space="0" w:color="auto"/>
            <w:right w:val="none" w:sz="0" w:space="0" w:color="auto"/>
          </w:divBdr>
          <w:divsChild>
            <w:div w:id="1921134129">
              <w:marLeft w:val="0"/>
              <w:marRight w:val="0"/>
              <w:marTop w:val="0"/>
              <w:marBottom w:val="0"/>
              <w:divBdr>
                <w:top w:val="none" w:sz="0" w:space="0" w:color="auto"/>
                <w:left w:val="none" w:sz="0" w:space="0" w:color="auto"/>
                <w:bottom w:val="none" w:sz="0" w:space="0" w:color="auto"/>
                <w:right w:val="none" w:sz="0" w:space="0" w:color="auto"/>
              </w:divBdr>
              <w:divsChild>
                <w:div w:id="1776098692">
                  <w:marLeft w:val="0"/>
                  <w:marRight w:val="0"/>
                  <w:marTop w:val="0"/>
                  <w:marBottom w:val="0"/>
                  <w:divBdr>
                    <w:top w:val="none" w:sz="0" w:space="0" w:color="auto"/>
                    <w:left w:val="none" w:sz="0" w:space="0" w:color="auto"/>
                    <w:bottom w:val="none" w:sz="0" w:space="0" w:color="auto"/>
                    <w:right w:val="none" w:sz="0" w:space="0" w:color="auto"/>
                  </w:divBdr>
                  <w:divsChild>
                    <w:div w:id="20029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28788">
      <w:bodyDiv w:val="1"/>
      <w:marLeft w:val="0"/>
      <w:marRight w:val="0"/>
      <w:marTop w:val="0"/>
      <w:marBottom w:val="0"/>
      <w:divBdr>
        <w:top w:val="none" w:sz="0" w:space="0" w:color="auto"/>
        <w:left w:val="none" w:sz="0" w:space="0" w:color="auto"/>
        <w:bottom w:val="none" w:sz="0" w:space="0" w:color="auto"/>
        <w:right w:val="none" w:sz="0" w:space="0" w:color="auto"/>
      </w:divBdr>
      <w:divsChild>
        <w:div w:id="1091315126">
          <w:marLeft w:val="0"/>
          <w:marRight w:val="0"/>
          <w:marTop w:val="0"/>
          <w:marBottom w:val="0"/>
          <w:divBdr>
            <w:top w:val="none" w:sz="0" w:space="0" w:color="auto"/>
            <w:left w:val="none" w:sz="0" w:space="0" w:color="auto"/>
            <w:bottom w:val="none" w:sz="0" w:space="0" w:color="auto"/>
            <w:right w:val="none" w:sz="0" w:space="0" w:color="auto"/>
          </w:divBdr>
          <w:divsChild>
            <w:div w:id="1787389093">
              <w:marLeft w:val="0"/>
              <w:marRight w:val="0"/>
              <w:marTop w:val="0"/>
              <w:marBottom w:val="0"/>
              <w:divBdr>
                <w:top w:val="none" w:sz="0" w:space="0" w:color="auto"/>
                <w:left w:val="none" w:sz="0" w:space="0" w:color="auto"/>
                <w:bottom w:val="none" w:sz="0" w:space="0" w:color="auto"/>
                <w:right w:val="none" w:sz="0" w:space="0" w:color="auto"/>
              </w:divBdr>
              <w:divsChild>
                <w:div w:id="115691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62816">
      <w:bodyDiv w:val="1"/>
      <w:marLeft w:val="0"/>
      <w:marRight w:val="0"/>
      <w:marTop w:val="0"/>
      <w:marBottom w:val="0"/>
      <w:divBdr>
        <w:top w:val="none" w:sz="0" w:space="0" w:color="auto"/>
        <w:left w:val="none" w:sz="0" w:space="0" w:color="auto"/>
        <w:bottom w:val="none" w:sz="0" w:space="0" w:color="auto"/>
        <w:right w:val="none" w:sz="0" w:space="0" w:color="auto"/>
      </w:divBdr>
      <w:divsChild>
        <w:div w:id="2093551662">
          <w:marLeft w:val="0"/>
          <w:marRight w:val="0"/>
          <w:marTop w:val="0"/>
          <w:marBottom w:val="0"/>
          <w:divBdr>
            <w:top w:val="none" w:sz="0" w:space="0" w:color="auto"/>
            <w:left w:val="none" w:sz="0" w:space="0" w:color="auto"/>
            <w:bottom w:val="none" w:sz="0" w:space="0" w:color="auto"/>
            <w:right w:val="none" w:sz="0" w:space="0" w:color="auto"/>
          </w:divBdr>
          <w:divsChild>
            <w:div w:id="2016567573">
              <w:marLeft w:val="0"/>
              <w:marRight w:val="0"/>
              <w:marTop w:val="0"/>
              <w:marBottom w:val="0"/>
              <w:divBdr>
                <w:top w:val="none" w:sz="0" w:space="0" w:color="auto"/>
                <w:left w:val="none" w:sz="0" w:space="0" w:color="auto"/>
                <w:bottom w:val="none" w:sz="0" w:space="0" w:color="auto"/>
                <w:right w:val="none" w:sz="0" w:space="0" w:color="auto"/>
              </w:divBdr>
              <w:divsChild>
                <w:div w:id="193613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48333">
      <w:bodyDiv w:val="1"/>
      <w:marLeft w:val="0"/>
      <w:marRight w:val="0"/>
      <w:marTop w:val="0"/>
      <w:marBottom w:val="0"/>
      <w:divBdr>
        <w:top w:val="none" w:sz="0" w:space="0" w:color="auto"/>
        <w:left w:val="none" w:sz="0" w:space="0" w:color="auto"/>
        <w:bottom w:val="none" w:sz="0" w:space="0" w:color="auto"/>
        <w:right w:val="none" w:sz="0" w:space="0" w:color="auto"/>
      </w:divBdr>
      <w:divsChild>
        <w:div w:id="420875098">
          <w:marLeft w:val="446"/>
          <w:marRight w:val="0"/>
          <w:marTop w:val="0"/>
          <w:marBottom w:val="0"/>
          <w:divBdr>
            <w:top w:val="none" w:sz="0" w:space="0" w:color="auto"/>
            <w:left w:val="none" w:sz="0" w:space="0" w:color="auto"/>
            <w:bottom w:val="none" w:sz="0" w:space="0" w:color="auto"/>
            <w:right w:val="none" w:sz="0" w:space="0" w:color="auto"/>
          </w:divBdr>
        </w:div>
        <w:div w:id="687373269">
          <w:marLeft w:val="446"/>
          <w:marRight w:val="0"/>
          <w:marTop w:val="0"/>
          <w:marBottom w:val="0"/>
          <w:divBdr>
            <w:top w:val="none" w:sz="0" w:space="0" w:color="auto"/>
            <w:left w:val="none" w:sz="0" w:space="0" w:color="auto"/>
            <w:bottom w:val="none" w:sz="0" w:space="0" w:color="auto"/>
            <w:right w:val="none" w:sz="0" w:space="0" w:color="auto"/>
          </w:divBdr>
        </w:div>
        <w:div w:id="1994214217">
          <w:marLeft w:val="446"/>
          <w:marRight w:val="0"/>
          <w:marTop w:val="0"/>
          <w:marBottom w:val="0"/>
          <w:divBdr>
            <w:top w:val="none" w:sz="0" w:space="0" w:color="auto"/>
            <w:left w:val="none" w:sz="0" w:space="0" w:color="auto"/>
            <w:bottom w:val="none" w:sz="0" w:space="0" w:color="auto"/>
            <w:right w:val="none" w:sz="0" w:space="0" w:color="auto"/>
          </w:divBdr>
        </w:div>
      </w:divsChild>
    </w:div>
    <w:div w:id="1378234428">
      <w:bodyDiv w:val="1"/>
      <w:marLeft w:val="0"/>
      <w:marRight w:val="0"/>
      <w:marTop w:val="0"/>
      <w:marBottom w:val="0"/>
      <w:divBdr>
        <w:top w:val="none" w:sz="0" w:space="0" w:color="auto"/>
        <w:left w:val="none" w:sz="0" w:space="0" w:color="auto"/>
        <w:bottom w:val="none" w:sz="0" w:space="0" w:color="auto"/>
        <w:right w:val="none" w:sz="0" w:space="0" w:color="auto"/>
      </w:divBdr>
      <w:divsChild>
        <w:div w:id="1434664770">
          <w:marLeft w:val="0"/>
          <w:marRight w:val="0"/>
          <w:marTop w:val="0"/>
          <w:marBottom w:val="0"/>
          <w:divBdr>
            <w:top w:val="none" w:sz="0" w:space="0" w:color="auto"/>
            <w:left w:val="none" w:sz="0" w:space="0" w:color="auto"/>
            <w:bottom w:val="none" w:sz="0" w:space="0" w:color="auto"/>
            <w:right w:val="none" w:sz="0" w:space="0" w:color="auto"/>
          </w:divBdr>
          <w:divsChild>
            <w:div w:id="1179585222">
              <w:marLeft w:val="0"/>
              <w:marRight w:val="0"/>
              <w:marTop w:val="0"/>
              <w:marBottom w:val="0"/>
              <w:divBdr>
                <w:top w:val="none" w:sz="0" w:space="0" w:color="auto"/>
                <w:left w:val="none" w:sz="0" w:space="0" w:color="auto"/>
                <w:bottom w:val="none" w:sz="0" w:space="0" w:color="auto"/>
                <w:right w:val="none" w:sz="0" w:space="0" w:color="auto"/>
              </w:divBdr>
              <w:divsChild>
                <w:div w:id="178157718">
                  <w:marLeft w:val="0"/>
                  <w:marRight w:val="0"/>
                  <w:marTop w:val="0"/>
                  <w:marBottom w:val="0"/>
                  <w:divBdr>
                    <w:top w:val="none" w:sz="0" w:space="0" w:color="auto"/>
                    <w:left w:val="none" w:sz="0" w:space="0" w:color="auto"/>
                    <w:bottom w:val="none" w:sz="0" w:space="0" w:color="auto"/>
                    <w:right w:val="none" w:sz="0" w:space="0" w:color="auto"/>
                  </w:divBdr>
                  <w:divsChild>
                    <w:div w:id="8844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966378">
      <w:bodyDiv w:val="1"/>
      <w:marLeft w:val="0"/>
      <w:marRight w:val="0"/>
      <w:marTop w:val="0"/>
      <w:marBottom w:val="0"/>
      <w:divBdr>
        <w:top w:val="none" w:sz="0" w:space="0" w:color="auto"/>
        <w:left w:val="none" w:sz="0" w:space="0" w:color="auto"/>
        <w:bottom w:val="none" w:sz="0" w:space="0" w:color="auto"/>
        <w:right w:val="none" w:sz="0" w:space="0" w:color="auto"/>
      </w:divBdr>
      <w:divsChild>
        <w:div w:id="265693803">
          <w:marLeft w:val="0"/>
          <w:marRight w:val="0"/>
          <w:marTop w:val="0"/>
          <w:marBottom w:val="0"/>
          <w:divBdr>
            <w:top w:val="none" w:sz="0" w:space="0" w:color="auto"/>
            <w:left w:val="none" w:sz="0" w:space="0" w:color="auto"/>
            <w:bottom w:val="none" w:sz="0" w:space="0" w:color="auto"/>
            <w:right w:val="none" w:sz="0" w:space="0" w:color="auto"/>
          </w:divBdr>
          <w:divsChild>
            <w:div w:id="1334265084">
              <w:marLeft w:val="-225"/>
              <w:marRight w:val="-225"/>
              <w:marTop w:val="0"/>
              <w:marBottom w:val="0"/>
              <w:divBdr>
                <w:top w:val="none" w:sz="0" w:space="0" w:color="auto"/>
                <w:left w:val="none" w:sz="0" w:space="0" w:color="auto"/>
                <w:bottom w:val="none" w:sz="0" w:space="0" w:color="auto"/>
                <w:right w:val="none" w:sz="0" w:space="0" w:color="auto"/>
              </w:divBdr>
              <w:divsChild>
                <w:div w:id="1567885321">
                  <w:marLeft w:val="0"/>
                  <w:marRight w:val="0"/>
                  <w:marTop w:val="0"/>
                  <w:marBottom w:val="0"/>
                  <w:divBdr>
                    <w:top w:val="none" w:sz="0" w:space="0" w:color="auto"/>
                    <w:left w:val="none" w:sz="0" w:space="0" w:color="auto"/>
                    <w:bottom w:val="none" w:sz="0" w:space="0" w:color="auto"/>
                    <w:right w:val="none" w:sz="0" w:space="0" w:color="auto"/>
                  </w:divBdr>
                  <w:divsChild>
                    <w:div w:id="804735070">
                      <w:marLeft w:val="0"/>
                      <w:marRight w:val="0"/>
                      <w:marTop w:val="0"/>
                      <w:marBottom w:val="0"/>
                      <w:divBdr>
                        <w:top w:val="none" w:sz="0" w:space="0" w:color="auto"/>
                        <w:left w:val="none" w:sz="0" w:space="0" w:color="auto"/>
                        <w:bottom w:val="none" w:sz="0" w:space="0" w:color="auto"/>
                        <w:right w:val="none" w:sz="0" w:space="0" w:color="auto"/>
                      </w:divBdr>
                      <w:divsChild>
                        <w:div w:id="15313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125308">
      <w:bodyDiv w:val="1"/>
      <w:marLeft w:val="0"/>
      <w:marRight w:val="0"/>
      <w:marTop w:val="0"/>
      <w:marBottom w:val="0"/>
      <w:divBdr>
        <w:top w:val="none" w:sz="0" w:space="0" w:color="auto"/>
        <w:left w:val="none" w:sz="0" w:space="0" w:color="auto"/>
        <w:bottom w:val="none" w:sz="0" w:space="0" w:color="auto"/>
        <w:right w:val="none" w:sz="0" w:space="0" w:color="auto"/>
      </w:divBdr>
      <w:divsChild>
        <w:div w:id="1441754185">
          <w:marLeft w:val="0"/>
          <w:marRight w:val="0"/>
          <w:marTop w:val="0"/>
          <w:marBottom w:val="0"/>
          <w:divBdr>
            <w:top w:val="none" w:sz="0" w:space="0" w:color="auto"/>
            <w:left w:val="none" w:sz="0" w:space="0" w:color="auto"/>
            <w:bottom w:val="none" w:sz="0" w:space="0" w:color="auto"/>
            <w:right w:val="none" w:sz="0" w:space="0" w:color="auto"/>
          </w:divBdr>
          <w:divsChild>
            <w:div w:id="1228493879">
              <w:marLeft w:val="0"/>
              <w:marRight w:val="0"/>
              <w:marTop w:val="0"/>
              <w:marBottom w:val="0"/>
              <w:divBdr>
                <w:top w:val="none" w:sz="0" w:space="0" w:color="auto"/>
                <w:left w:val="none" w:sz="0" w:space="0" w:color="auto"/>
                <w:bottom w:val="none" w:sz="0" w:space="0" w:color="auto"/>
                <w:right w:val="none" w:sz="0" w:space="0" w:color="auto"/>
              </w:divBdr>
              <w:divsChild>
                <w:div w:id="1216160359">
                  <w:marLeft w:val="0"/>
                  <w:marRight w:val="0"/>
                  <w:marTop w:val="0"/>
                  <w:marBottom w:val="0"/>
                  <w:divBdr>
                    <w:top w:val="none" w:sz="0" w:space="0" w:color="auto"/>
                    <w:left w:val="none" w:sz="0" w:space="0" w:color="auto"/>
                    <w:bottom w:val="none" w:sz="0" w:space="0" w:color="auto"/>
                    <w:right w:val="none" w:sz="0" w:space="0" w:color="auto"/>
                  </w:divBdr>
                  <w:divsChild>
                    <w:div w:id="18894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78443">
      <w:bodyDiv w:val="1"/>
      <w:marLeft w:val="0"/>
      <w:marRight w:val="0"/>
      <w:marTop w:val="0"/>
      <w:marBottom w:val="0"/>
      <w:divBdr>
        <w:top w:val="none" w:sz="0" w:space="0" w:color="auto"/>
        <w:left w:val="none" w:sz="0" w:space="0" w:color="auto"/>
        <w:bottom w:val="none" w:sz="0" w:space="0" w:color="auto"/>
        <w:right w:val="none" w:sz="0" w:space="0" w:color="auto"/>
      </w:divBdr>
      <w:divsChild>
        <w:div w:id="947198066">
          <w:marLeft w:val="0"/>
          <w:marRight w:val="0"/>
          <w:marTop w:val="0"/>
          <w:marBottom w:val="0"/>
          <w:divBdr>
            <w:top w:val="none" w:sz="0" w:space="0" w:color="auto"/>
            <w:left w:val="none" w:sz="0" w:space="0" w:color="auto"/>
            <w:bottom w:val="none" w:sz="0" w:space="0" w:color="auto"/>
            <w:right w:val="none" w:sz="0" w:space="0" w:color="auto"/>
          </w:divBdr>
          <w:divsChild>
            <w:div w:id="1139808649">
              <w:marLeft w:val="0"/>
              <w:marRight w:val="0"/>
              <w:marTop w:val="0"/>
              <w:marBottom w:val="0"/>
              <w:divBdr>
                <w:top w:val="none" w:sz="0" w:space="0" w:color="auto"/>
                <w:left w:val="none" w:sz="0" w:space="0" w:color="auto"/>
                <w:bottom w:val="none" w:sz="0" w:space="0" w:color="auto"/>
                <w:right w:val="none" w:sz="0" w:space="0" w:color="auto"/>
              </w:divBdr>
              <w:divsChild>
                <w:div w:id="3767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99128">
      <w:bodyDiv w:val="1"/>
      <w:marLeft w:val="0"/>
      <w:marRight w:val="0"/>
      <w:marTop w:val="0"/>
      <w:marBottom w:val="0"/>
      <w:divBdr>
        <w:top w:val="none" w:sz="0" w:space="0" w:color="auto"/>
        <w:left w:val="none" w:sz="0" w:space="0" w:color="auto"/>
        <w:bottom w:val="none" w:sz="0" w:space="0" w:color="auto"/>
        <w:right w:val="none" w:sz="0" w:space="0" w:color="auto"/>
      </w:divBdr>
      <w:divsChild>
        <w:div w:id="1224558125">
          <w:marLeft w:val="0"/>
          <w:marRight w:val="0"/>
          <w:marTop w:val="0"/>
          <w:marBottom w:val="0"/>
          <w:divBdr>
            <w:top w:val="none" w:sz="0" w:space="0" w:color="auto"/>
            <w:left w:val="none" w:sz="0" w:space="0" w:color="auto"/>
            <w:bottom w:val="none" w:sz="0" w:space="0" w:color="auto"/>
            <w:right w:val="none" w:sz="0" w:space="0" w:color="auto"/>
          </w:divBdr>
          <w:divsChild>
            <w:div w:id="1415588729">
              <w:marLeft w:val="0"/>
              <w:marRight w:val="0"/>
              <w:marTop w:val="0"/>
              <w:marBottom w:val="0"/>
              <w:divBdr>
                <w:top w:val="none" w:sz="0" w:space="0" w:color="auto"/>
                <w:left w:val="none" w:sz="0" w:space="0" w:color="auto"/>
                <w:bottom w:val="none" w:sz="0" w:space="0" w:color="auto"/>
                <w:right w:val="none" w:sz="0" w:space="0" w:color="auto"/>
              </w:divBdr>
              <w:divsChild>
                <w:div w:id="113560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7353">
      <w:bodyDiv w:val="1"/>
      <w:marLeft w:val="0"/>
      <w:marRight w:val="0"/>
      <w:marTop w:val="0"/>
      <w:marBottom w:val="0"/>
      <w:divBdr>
        <w:top w:val="none" w:sz="0" w:space="0" w:color="auto"/>
        <w:left w:val="none" w:sz="0" w:space="0" w:color="auto"/>
        <w:bottom w:val="none" w:sz="0" w:space="0" w:color="auto"/>
        <w:right w:val="none" w:sz="0" w:space="0" w:color="auto"/>
      </w:divBdr>
      <w:divsChild>
        <w:div w:id="918708983">
          <w:marLeft w:val="0"/>
          <w:marRight w:val="0"/>
          <w:marTop w:val="0"/>
          <w:marBottom w:val="0"/>
          <w:divBdr>
            <w:top w:val="none" w:sz="0" w:space="0" w:color="auto"/>
            <w:left w:val="none" w:sz="0" w:space="0" w:color="auto"/>
            <w:bottom w:val="none" w:sz="0" w:space="0" w:color="auto"/>
            <w:right w:val="none" w:sz="0" w:space="0" w:color="auto"/>
          </w:divBdr>
          <w:divsChild>
            <w:div w:id="87209">
              <w:marLeft w:val="0"/>
              <w:marRight w:val="0"/>
              <w:marTop w:val="0"/>
              <w:marBottom w:val="0"/>
              <w:divBdr>
                <w:top w:val="none" w:sz="0" w:space="0" w:color="auto"/>
                <w:left w:val="none" w:sz="0" w:space="0" w:color="auto"/>
                <w:bottom w:val="none" w:sz="0" w:space="0" w:color="auto"/>
                <w:right w:val="none" w:sz="0" w:space="0" w:color="auto"/>
              </w:divBdr>
              <w:divsChild>
                <w:div w:id="1718698035">
                  <w:marLeft w:val="0"/>
                  <w:marRight w:val="0"/>
                  <w:marTop w:val="0"/>
                  <w:marBottom w:val="0"/>
                  <w:divBdr>
                    <w:top w:val="none" w:sz="0" w:space="0" w:color="auto"/>
                    <w:left w:val="none" w:sz="0" w:space="0" w:color="auto"/>
                    <w:bottom w:val="none" w:sz="0" w:space="0" w:color="auto"/>
                    <w:right w:val="none" w:sz="0" w:space="0" w:color="auto"/>
                  </w:divBdr>
                </w:div>
              </w:divsChild>
            </w:div>
            <w:div w:id="2078703496">
              <w:marLeft w:val="0"/>
              <w:marRight w:val="0"/>
              <w:marTop w:val="0"/>
              <w:marBottom w:val="0"/>
              <w:divBdr>
                <w:top w:val="none" w:sz="0" w:space="0" w:color="auto"/>
                <w:left w:val="none" w:sz="0" w:space="0" w:color="auto"/>
                <w:bottom w:val="none" w:sz="0" w:space="0" w:color="auto"/>
                <w:right w:val="none" w:sz="0" w:space="0" w:color="auto"/>
              </w:divBdr>
              <w:divsChild>
                <w:div w:id="869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93155">
      <w:bodyDiv w:val="1"/>
      <w:marLeft w:val="0"/>
      <w:marRight w:val="0"/>
      <w:marTop w:val="0"/>
      <w:marBottom w:val="0"/>
      <w:divBdr>
        <w:top w:val="none" w:sz="0" w:space="0" w:color="auto"/>
        <w:left w:val="none" w:sz="0" w:space="0" w:color="auto"/>
        <w:bottom w:val="none" w:sz="0" w:space="0" w:color="auto"/>
        <w:right w:val="none" w:sz="0" w:space="0" w:color="auto"/>
      </w:divBdr>
    </w:div>
    <w:div w:id="1466198734">
      <w:bodyDiv w:val="1"/>
      <w:marLeft w:val="0"/>
      <w:marRight w:val="0"/>
      <w:marTop w:val="0"/>
      <w:marBottom w:val="0"/>
      <w:divBdr>
        <w:top w:val="none" w:sz="0" w:space="0" w:color="auto"/>
        <w:left w:val="none" w:sz="0" w:space="0" w:color="auto"/>
        <w:bottom w:val="none" w:sz="0" w:space="0" w:color="auto"/>
        <w:right w:val="none" w:sz="0" w:space="0" w:color="auto"/>
      </w:divBdr>
      <w:divsChild>
        <w:div w:id="176118205">
          <w:marLeft w:val="446"/>
          <w:marRight w:val="0"/>
          <w:marTop w:val="0"/>
          <w:marBottom w:val="200"/>
          <w:divBdr>
            <w:top w:val="none" w:sz="0" w:space="0" w:color="auto"/>
            <w:left w:val="none" w:sz="0" w:space="0" w:color="auto"/>
            <w:bottom w:val="none" w:sz="0" w:space="0" w:color="auto"/>
            <w:right w:val="none" w:sz="0" w:space="0" w:color="auto"/>
          </w:divBdr>
        </w:div>
        <w:div w:id="801192833">
          <w:marLeft w:val="446"/>
          <w:marRight w:val="0"/>
          <w:marTop w:val="0"/>
          <w:marBottom w:val="200"/>
          <w:divBdr>
            <w:top w:val="none" w:sz="0" w:space="0" w:color="auto"/>
            <w:left w:val="none" w:sz="0" w:space="0" w:color="auto"/>
            <w:bottom w:val="none" w:sz="0" w:space="0" w:color="auto"/>
            <w:right w:val="none" w:sz="0" w:space="0" w:color="auto"/>
          </w:divBdr>
        </w:div>
        <w:div w:id="1607152511">
          <w:marLeft w:val="446"/>
          <w:marRight w:val="0"/>
          <w:marTop w:val="0"/>
          <w:marBottom w:val="200"/>
          <w:divBdr>
            <w:top w:val="none" w:sz="0" w:space="0" w:color="auto"/>
            <w:left w:val="none" w:sz="0" w:space="0" w:color="auto"/>
            <w:bottom w:val="none" w:sz="0" w:space="0" w:color="auto"/>
            <w:right w:val="none" w:sz="0" w:space="0" w:color="auto"/>
          </w:divBdr>
        </w:div>
      </w:divsChild>
    </w:div>
    <w:div w:id="1475827669">
      <w:bodyDiv w:val="1"/>
      <w:marLeft w:val="0"/>
      <w:marRight w:val="0"/>
      <w:marTop w:val="0"/>
      <w:marBottom w:val="0"/>
      <w:divBdr>
        <w:top w:val="none" w:sz="0" w:space="0" w:color="auto"/>
        <w:left w:val="none" w:sz="0" w:space="0" w:color="auto"/>
        <w:bottom w:val="none" w:sz="0" w:space="0" w:color="auto"/>
        <w:right w:val="none" w:sz="0" w:space="0" w:color="auto"/>
      </w:divBdr>
      <w:divsChild>
        <w:div w:id="862668547">
          <w:marLeft w:val="0"/>
          <w:marRight w:val="0"/>
          <w:marTop w:val="0"/>
          <w:marBottom w:val="0"/>
          <w:divBdr>
            <w:top w:val="none" w:sz="0" w:space="0" w:color="auto"/>
            <w:left w:val="none" w:sz="0" w:space="0" w:color="auto"/>
            <w:bottom w:val="none" w:sz="0" w:space="0" w:color="auto"/>
            <w:right w:val="none" w:sz="0" w:space="0" w:color="auto"/>
          </w:divBdr>
          <w:divsChild>
            <w:div w:id="252396887">
              <w:marLeft w:val="0"/>
              <w:marRight w:val="0"/>
              <w:marTop w:val="0"/>
              <w:marBottom w:val="0"/>
              <w:divBdr>
                <w:top w:val="none" w:sz="0" w:space="0" w:color="auto"/>
                <w:left w:val="none" w:sz="0" w:space="0" w:color="auto"/>
                <w:bottom w:val="none" w:sz="0" w:space="0" w:color="auto"/>
                <w:right w:val="none" w:sz="0" w:space="0" w:color="auto"/>
              </w:divBdr>
              <w:divsChild>
                <w:div w:id="373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837996">
      <w:bodyDiv w:val="1"/>
      <w:marLeft w:val="0"/>
      <w:marRight w:val="0"/>
      <w:marTop w:val="0"/>
      <w:marBottom w:val="0"/>
      <w:divBdr>
        <w:top w:val="none" w:sz="0" w:space="0" w:color="auto"/>
        <w:left w:val="none" w:sz="0" w:space="0" w:color="auto"/>
        <w:bottom w:val="none" w:sz="0" w:space="0" w:color="auto"/>
        <w:right w:val="none" w:sz="0" w:space="0" w:color="auto"/>
      </w:divBdr>
      <w:divsChild>
        <w:div w:id="211310914">
          <w:marLeft w:val="0"/>
          <w:marRight w:val="0"/>
          <w:marTop w:val="0"/>
          <w:marBottom w:val="0"/>
          <w:divBdr>
            <w:top w:val="none" w:sz="0" w:space="0" w:color="auto"/>
            <w:left w:val="none" w:sz="0" w:space="0" w:color="auto"/>
            <w:bottom w:val="none" w:sz="0" w:space="0" w:color="auto"/>
            <w:right w:val="none" w:sz="0" w:space="0" w:color="auto"/>
          </w:divBdr>
          <w:divsChild>
            <w:div w:id="1135878420">
              <w:marLeft w:val="0"/>
              <w:marRight w:val="0"/>
              <w:marTop w:val="0"/>
              <w:marBottom w:val="0"/>
              <w:divBdr>
                <w:top w:val="none" w:sz="0" w:space="0" w:color="auto"/>
                <w:left w:val="none" w:sz="0" w:space="0" w:color="auto"/>
                <w:bottom w:val="none" w:sz="0" w:space="0" w:color="auto"/>
                <w:right w:val="none" w:sz="0" w:space="0" w:color="auto"/>
              </w:divBdr>
              <w:divsChild>
                <w:div w:id="416251444">
                  <w:marLeft w:val="0"/>
                  <w:marRight w:val="0"/>
                  <w:marTop w:val="0"/>
                  <w:marBottom w:val="0"/>
                  <w:divBdr>
                    <w:top w:val="none" w:sz="0" w:space="0" w:color="auto"/>
                    <w:left w:val="none" w:sz="0" w:space="0" w:color="auto"/>
                    <w:bottom w:val="none" w:sz="0" w:space="0" w:color="auto"/>
                    <w:right w:val="none" w:sz="0" w:space="0" w:color="auto"/>
                  </w:divBdr>
                  <w:divsChild>
                    <w:div w:id="86228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937408">
      <w:bodyDiv w:val="1"/>
      <w:marLeft w:val="0"/>
      <w:marRight w:val="0"/>
      <w:marTop w:val="0"/>
      <w:marBottom w:val="0"/>
      <w:divBdr>
        <w:top w:val="none" w:sz="0" w:space="0" w:color="auto"/>
        <w:left w:val="none" w:sz="0" w:space="0" w:color="auto"/>
        <w:bottom w:val="none" w:sz="0" w:space="0" w:color="auto"/>
        <w:right w:val="none" w:sz="0" w:space="0" w:color="auto"/>
      </w:divBdr>
      <w:divsChild>
        <w:div w:id="1033460534">
          <w:marLeft w:val="0"/>
          <w:marRight w:val="0"/>
          <w:marTop w:val="0"/>
          <w:marBottom w:val="0"/>
          <w:divBdr>
            <w:top w:val="none" w:sz="0" w:space="0" w:color="auto"/>
            <w:left w:val="none" w:sz="0" w:space="0" w:color="auto"/>
            <w:bottom w:val="none" w:sz="0" w:space="0" w:color="auto"/>
            <w:right w:val="none" w:sz="0" w:space="0" w:color="auto"/>
          </w:divBdr>
          <w:divsChild>
            <w:div w:id="503668611">
              <w:marLeft w:val="0"/>
              <w:marRight w:val="0"/>
              <w:marTop w:val="0"/>
              <w:marBottom w:val="0"/>
              <w:divBdr>
                <w:top w:val="none" w:sz="0" w:space="0" w:color="auto"/>
                <w:left w:val="none" w:sz="0" w:space="0" w:color="auto"/>
                <w:bottom w:val="none" w:sz="0" w:space="0" w:color="auto"/>
                <w:right w:val="none" w:sz="0" w:space="0" w:color="auto"/>
              </w:divBdr>
              <w:divsChild>
                <w:div w:id="26487241">
                  <w:marLeft w:val="0"/>
                  <w:marRight w:val="0"/>
                  <w:marTop w:val="0"/>
                  <w:marBottom w:val="0"/>
                  <w:divBdr>
                    <w:top w:val="none" w:sz="0" w:space="0" w:color="auto"/>
                    <w:left w:val="none" w:sz="0" w:space="0" w:color="auto"/>
                    <w:bottom w:val="none" w:sz="0" w:space="0" w:color="auto"/>
                    <w:right w:val="none" w:sz="0" w:space="0" w:color="auto"/>
                  </w:divBdr>
                  <w:divsChild>
                    <w:div w:id="153376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71996">
      <w:bodyDiv w:val="1"/>
      <w:marLeft w:val="0"/>
      <w:marRight w:val="0"/>
      <w:marTop w:val="0"/>
      <w:marBottom w:val="0"/>
      <w:divBdr>
        <w:top w:val="none" w:sz="0" w:space="0" w:color="auto"/>
        <w:left w:val="none" w:sz="0" w:space="0" w:color="auto"/>
        <w:bottom w:val="none" w:sz="0" w:space="0" w:color="auto"/>
        <w:right w:val="none" w:sz="0" w:space="0" w:color="auto"/>
      </w:divBdr>
      <w:divsChild>
        <w:div w:id="89938996">
          <w:marLeft w:val="0"/>
          <w:marRight w:val="0"/>
          <w:marTop w:val="0"/>
          <w:marBottom w:val="0"/>
          <w:divBdr>
            <w:top w:val="none" w:sz="0" w:space="0" w:color="auto"/>
            <w:left w:val="none" w:sz="0" w:space="0" w:color="auto"/>
            <w:bottom w:val="none" w:sz="0" w:space="0" w:color="auto"/>
            <w:right w:val="none" w:sz="0" w:space="0" w:color="auto"/>
          </w:divBdr>
          <w:divsChild>
            <w:div w:id="1155103609">
              <w:marLeft w:val="0"/>
              <w:marRight w:val="0"/>
              <w:marTop w:val="0"/>
              <w:marBottom w:val="0"/>
              <w:divBdr>
                <w:top w:val="none" w:sz="0" w:space="0" w:color="auto"/>
                <w:left w:val="none" w:sz="0" w:space="0" w:color="auto"/>
                <w:bottom w:val="none" w:sz="0" w:space="0" w:color="auto"/>
                <w:right w:val="none" w:sz="0" w:space="0" w:color="auto"/>
              </w:divBdr>
              <w:divsChild>
                <w:div w:id="55505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251963">
      <w:bodyDiv w:val="1"/>
      <w:marLeft w:val="0"/>
      <w:marRight w:val="0"/>
      <w:marTop w:val="0"/>
      <w:marBottom w:val="0"/>
      <w:divBdr>
        <w:top w:val="none" w:sz="0" w:space="0" w:color="auto"/>
        <w:left w:val="none" w:sz="0" w:space="0" w:color="auto"/>
        <w:bottom w:val="none" w:sz="0" w:space="0" w:color="auto"/>
        <w:right w:val="none" w:sz="0" w:space="0" w:color="auto"/>
      </w:divBdr>
      <w:divsChild>
        <w:div w:id="158349956">
          <w:marLeft w:val="446"/>
          <w:marRight w:val="0"/>
          <w:marTop w:val="0"/>
          <w:marBottom w:val="0"/>
          <w:divBdr>
            <w:top w:val="none" w:sz="0" w:space="0" w:color="auto"/>
            <w:left w:val="none" w:sz="0" w:space="0" w:color="auto"/>
            <w:bottom w:val="none" w:sz="0" w:space="0" w:color="auto"/>
            <w:right w:val="none" w:sz="0" w:space="0" w:color="auto"/>
          </w:divBdr>
        </w:div>
        <w:div w:id="904725920">
          <w:marLeft w:val="446"/>
          <w:marRight w:val="0"/>
          <w:marTop w:val="0"/>
          <w:marBottom w:val="0"/>
          <w:divBdr>
            <w:top w:val="none" w:sz="0" w:space="0" w:color="auto"/>
            <w:left w:val="none" w:sz="0" w:space="0" w:color="auto"/>
            <w:bottom w:val="none" w:sz="0" w:space="0" w:color="auto"/>
            <w:right w:val="none" w:sz="0" w:space="0" w:color="auto"/>
          </w:divBdr>
        </w:div>
        <w:div w:id="2031173842">
          <w:marLeft w:val="446"/>
          <w:marRight w:val="0"/>
          <w:marTop w:val="0"/>
          <w:marBottom w:val="0"/>
          <w:divBdr>
            <w:top w:val="none" w:sz="0" w:space="0" w:color="auto"/>
            <w:left w:val="none" w:sz="0" w:space="0" w:color="auto"/>
            <w:bottom w:val="none" w:sz="0" w:space="0" w:color="auto"/>
            <w:right w:val="none" w:sz="0" w:space="0" w:color="auto"/>
          </w:divBdr>
        </w:div>
      </w:divsChild>
    </w:div>
    <w:div w:id="1579753703">
      <w:bodyDiv w:val="1"/>
      <w:marLeft w:val="0"/>
      <w:marRight w:val="0"/>
      <w:marTop w:val="0"/>
      <w:marBottom w:val="0"/>
      <w:divBdr>
        <w:top w:val="none" w:sz="0" w:space="0" w:color="auto"/>
        <w:left w:val="none" w:sz="0" w:space="0" w:color="auto"/>
        <w:bottom w:val="none" w:sz="0" w:space="0" w:color="auto"/>
        <w:right w:val="none" w:sz="0" w:space="0" w:color="auto"/>
      </w:divBdr>
      <w:divsChild>
        <w:div w:id="118768434">
          <w:marLeft w:val="0"/>
          <w:marRight w:val="0"/>
          <w:marTop w:val="0"/>
          <w:marBottom w:val="0"/>
          <w:divBdr>
            <w:top w:val="none" w:sz="0" w:space="0" w:color="auto"/>
            <w:left w:val="none" w:sz="0" w:space="0" w:color="auto"/>
            <w:bottom w:val="none" w:sz="0" w:space="0" w:color="auto"/>
            <w:right w:val="none" w:sz="0" w:space="0" w:color="auto"/>
          </w:divBdr>
          <w:divsChild>
            <w:div w:id="1768192876">
              <w:marLeft w:val="0"/>
              <w:marRight w:val="0"/>
              <w:marTop w:val="0"/>
              <w:marBottom w:val="0"/>
              <w:divBdr>
                <w:top w:val="none" w:sz="0" w:space="0" w:color="auto"/>
                <w:left w:val="none" w:sz="0" w:space="0" w:color="auto"/>
                <w:bottom w:val="none" w:sz="0" w:space="0" w:color="auto"/>
                <w:right w:val="none" w:sz="0" w:space="0" w:color="auto"/>
              </w:divBdr>
              <w:divsChild>
                <w:div w:id="12651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59159">
      <w:bodyDiv w:val="1"/>
      <w:marLeft w:val="0"/>
      <w:marRight w:val="0"/>
      <w:marTop w:val="0"/>
      <w:marBottom w:val="0"/>
      <w:divBdr>
        <w:top w:val="none" w:sz="0" w:space="0" w:color="auto"/>
        <w:left w:val="none" w:sz="0" w:space="0" w:color="auto"/>
        <w:bottom w:val="none" w:sz="0" w:space="0" w:color="auto"/>
        <w:right w:val="none" w:sz="0" w:space="0" w:color="auto"/>
      </w:divBdr>
    </w:div>
    <w:div w:id="1658073061">
      <w:bodyDiv w:val="1"/>
      <w:marLeft w:val="0"/>
      <w:marRight w:val="0"/>
      <w:marTop w:val="0"/>
      <w:marBottom w:val="0"/>
      <w:divBdr>
        <w:top w:val="none" w:sz="0" w:space="0" w:color="auto"/>
        <w:left w:val="none" w:sz="0" w:space="0" w:color="auto"/>
        <w:bottom w:val="none" w:sz="0" w:space="0" w:color="auto"/>
        <w:right w:val="none" w:sz="0" w:space="0" w:color="auto"/>
      </w:divBdr>
      <w:divsChild>
        <w:div w:id="1918048997">
          <w:marLeft w:val="0"/>
          <w:marRight w:val="0"/>
          <w:marTop w:val="0"/>
          <w:marBottom w:val="0"/>
          <w:divBdr>
            <w:top w:val="none" w:sz="0" w:space="0" w:color="auto"/>
            <w:left w:val="none" w:sz="0" w:space="0" w:color="auto"/>
            <w:bottom w:val="none" w:sz="0" w:space="0" w:color="auto"/>
            <w:right w:val="none" w:sz="0" w:space="0" w:color="auto"/>
          </w:divBdr>
          <w:divsChild>
            <w:div w:id="1798524743">
              <w:marLeft w:val="0"/>
              <w:marRight w:val="0"/>
              <w:marTop w:val="0"/>
              <w:marBottom w:val="0"/>
              <w:divBdr>
                <w:top w:val="none" w:sz="0" w:space="0" w:color="auto"/>
                <w:left w:val="none" w:sz="0" w:space="0" w:color="auto"/>
                <w:bottom w:val="none" w:sz="0" w:space="0" w:color="auto"/>
                <w:right w:val="none" w:sz="0" w:space="0" w:color="auto"/>
              </w:divBdr>
              <w:divsChild>
                <w:div w:id="8973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43569">
      <w:bodyDiv w:val="1"/>
      <w:marLeft w:val="0"/>
      <w:marRight w:val="0"/>
      <w:marTop w:val="0"/>
      <w:marBottom w:val="0"/>
      <w:divBdr>
        <w:top w:val="none" w:sz="0" w:space="0" w:color="auto"/>
        <w:left w:val="none" w:sz="0" w:space="0" w:color="auto"/>
        <w:bottom w:val="none" w:sz="0" w:space="0" w:color="auto"/>
        <w:right w:val="none" w:sz="0" w:space="0" w:color="auto"/>
      </w:divBdr>
      <w:divsChild>
        <w:div w:id="2025938383">
          <w:marLeft w:val="0"/>
          <w:marRight w:val="0"/>
          <w:marTop w:val="0"/>
          <w:marBottom w:val="0"/>
          <w:divBdr>
            <w:top w:val="none" w:sz="0" w:space="0" w:color="auto"/>
            <w:left w:val="none" w:sz="0" w:space="0" w:color="auto"/>
            <w:bottom w:val="none" w:sz="0" w:space="0" w:color="auto"/>
            <w:right w:val="none" w:sz="0" w:space="0" w:color="auto"/>
          </w:divBdr>
          <w:divsChild>
            <w:div w:id="796678564">
              <w:marLeft w:val="0"/>
              <w:marRight w:val="0"/>
              <w:marTop w:val="0"/>
              <w:marBottom w:val="0"/>
              <w:divBdr>
                <w:top w:val="none" w:sz="0" w:space="0" w:color="auto"/>
                <w:left w:val="none" w:sz="0" w:space="0" w:color="auto"/>
                <w:bottom w:val="none" w:sz="0" w:space="0" w:color="auto"/>
                <w:right w:val="none" w:sz="0" w:space="0" w:color="auto"/>
              </w:divBdr>
              <w:divsChild>
                <w:div w:id="1693337443">
                  <w:marLeft w:val="0"/>
                  <w:marRight w:val="0"/>
                  <w:marTop w:val="0"/>
                  <w:marBottom w:val="0"/>
                  <w:divBdr>
                    <w:top w:val="none" w:sz="0" w:space="0" w:color="auto"/>
                    <w:left w:val="none" w:sz="0" w:space="0" w:color="auto"/>
                    <w:bottom w:val="none" w:sz="0" w:space="0" w:color="auto"/>
                    <w:right w:val="none" w:sz="0" w:space="0" w:color="auto"/>
                  </w:divBdr>
                  <w:divsChild>
                    <w:div w:id="17903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16823">
      <w:bodyDiv w:val="1"/>
      <w:marLeft w:val="0"/>
      <w:marRight w:val="0"/>
      <w:marTop w:val="0"/>
      <w:marBottom w:val="0"/>
      <w:divBdr>
        <w:top w:val="none" w:sz="0" w:space="0" w:color="auto"/>
        <w:left w:val="none" w:sz="0" w:space="0" w:color="auto"/>
        <w:bottom w:val="none" w:sz="0" w:space="0" w:color="auto"/>
        <w:right w:val="none" w:sz="0" w:space="0" w:color="auto"/>
      </w:divBdr>
      <w:divsChild>
        <w:div w:id="1948270202">
          <w:marLeft w:val="0"/>
          <w:marRight w:val="0"/>
          <w:marTop w:val="0"/>
          <w:marBottom w:val="0"/>
          <w:divBdr>
            <w:top w:val="none" w:sz="0" w:space="0" w:color="auto"/>
            <w:left w:val="none" w:sz="0" w:space="0" w:color="auto"/>
            <w:bottom w:val="none" w:sz="0" w:space="0" w:color="auto"/>
            <w:right w:val="none" w:sz="0" w:space="0" w:color="auto"/>
          </w:divBdr>
          <w:divsChild>
            <w:div w:id="2147163414">
              <w:marLeft w:val="0"/>
              <w:marRight w:val="0"/>
              <w:marTop w:val="0"/>
              <w:marBottom w:val="0"/>
              <w:divBdr>
                <w:top w:val="none" w:sz="0" w:space="0" w:color="auto"/>
                <w:left w:val="none" w:sz="0" w:space="0" w:color="auto"/>
                <w:bottom w:val="none" w:sz="0" w:space="0" w:color="auto"/>
                <w:right w:val="none" w:sz="0" w:space="0" w:color="auto"/>
              </w:divBdr>
              <w:divsChild>
                <w:div w:id="1453941830">
                  <w:marLeft w:val="0"/>
                  <w:marRight w:val="0"/>
                  <w:marTop w:val="0"/>
                  <w:marBottom w:val="0"/>
                  <w:divBdr>
                    <w:top w:val="none" w:sz="0" w:space="0" w:color="auto"/>
                    <w:left w:val="none" w:sz="0" w:space="0" w:color="auto"/>
                    <w:bottom w:val="none" w:sz="0" w:space="0" w:color="auto"/>
                    <w:right w:val="none" w:sz="0" w:space="0" w:color="auto"/>
                  </w:divBdr>
                  <w:divsChild>
                    <w:div w:id="8284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96150">
      <w:bodyDiv w:val="1"/>
      <w:marLeft w:val="0"/>
      <w:marRight w:val="0"/>
      <w:marTop w:val="0"/>
      <w:marBottom w:val="0"/>
      <w:divBdr>
        <w:top w:val="none" w:sz="0" w:space="0" w:color="auto"/>
        <w:left w:val="none" w:sz="0" w:space="0" w:color="auto"/>
        <w:bottom w:val="none" w:sz="0" w:space="0" w:color="auto"/>
        <w:right w:val="none" w:sz="0" w:space="0" w:color="auto"/>
      </w:divBdr>
    </w:div>
    <w:div w:id="1718318570">
      <w:bodyDiv w:val="1"/>
      <w:marLeft w:val="0"/>
      <w:marRight w:val="0"/>
      <w:marTop w:val="0"/>
      <w:marBottom w:val="0"/>
      <w:divBdr>
        <w:top w:val="none" w:sz="0" w:space="0" w:color="auto"/>
        <w:left w:val="none" w:sz="0" w:space="0" w:color="auto"/>
        <w:bottom w:val="none" w:sz="0" w:space="0" w:color="auto"/>
        <w:right w:val="none" w:sz="0" w:space="0" w:color="auto"/>
      </w:divBdr>
      <w:divsChild>
        <w:div w:id="97994239">
          <w:marLeft w:val="0"/>
          <w:marRight w:val="0"/>
          <w:marTop w:val="0"/>
          <w:marBottom w:val="0"/>
          <w:divBdr>
            <w:top w:val="none" w:sz="0" w:space="0" w:color="auto"/>
            <w:left w:val="none" w:sz="0" w:space="0" w:color="auto"/>
            <w:bottom w:val="none" w:sz="0" w:space="0" w:color="auto"/>
            <w:right w:val="none" w:sz="0" w:space="0" w:color="auto"/>
          </w:divBdr>
          <w:divsChild>
            <w:div w:id="2069452319">
              <w:marLeft w:val="0"/>
              <w:marRight w:val="0"/>
              <w:marTop w:val="0"/>
              <w:marBottom w:val="0"/>
              <w:divBdr>
                <w:top w:val="none" w:sz="0" w:space="0" w:color="auto"/>
                <w:left w:val="none" w:sz="0" w:space="0" w:color="auto"/>
                <w:bottom w:val="none" w:sz="0" w:space="0" w:color="auto"/>
                <w:right w:val="none" w:sz="0" w:space="0" w:color="auto"/>
              </w:divBdr>
              <w:divsChild>
                <w:div w:id="152439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29248">
      <w:bodyDiv w:val="1"/>
      <w:marLeft w:val="0"/>
      <w:marRight w:val="0"/>
      <w:marTop w:val="0"/>
      <w:marBottom w:val="0"/>
      <w:divBdr>
        <w:top w:val="none" w:sz="0" w:space="0" w:color="auto"/>
        <w:left w:val="none" w:sz="0" w:space="0" w:color="auto"/>
        <w:bottom w:val="none" w:sz="0" w:space="0" w:color="auto"/>
        <w:right w:val="none" w:sz="0" w:space="0" w:color="auto"/>
      </w:divBdr>
      <w:divsChild>
        <w:div w:id="389890919">
          <w:marLeft w:val="0"/>
          <w:marRight w:val="0"/>
          <w:marTop w:val="0"/>
          <w:marBottom w:val="0"/>
          <w:divBdr>
            <w:top w:val="none" w:sz="0" w:space="0" w:color="auto"/>
            <w:left w:val="none" w:sz="0" w:space="0" w:color="auto"/>
            <w:bottom w:val="none" w:sz="0" w:space="0" w:color="auto"/>
            <w:right w:val="none" w:sz="0" w:space="0" w:color="auto"/>
          </w:divBdr>
          <w:divsChild>
            <w:div w:id="1017926189">
              <w:marLeft w:val="0"/>
              <w:marRight w:val="0"/>
              <w:marTop w:val="0"/>
              <w:marBottom w:val="0"/>
              <w:divBdr>
                <w:top w:val="none" w:sz="0" w:space="0" w:color="auto"/>
                <w:left w:val="none" w:sz="0" w:space="0" w:color="auto"/>
                <w:bottom w:val="none" w:sz="0" w:space="0" w:color="auto"/>
                <w:right w:val="none" w:sz="0" w:space="0" w:color="auto"/>
              </w:divBdr>
              <w:divsChild>
                <w:div w:id="59720500">
                  <w:marLeft w:val="0"/>
                  <w:marRight w:val="0"/>
                  <w:marTop w:val="0"/>
                  <w:marBottom w:val="0"/>
                  <w:divBdr>
                    <w:top w:val="none" w:sz="0" w:space="0" w:color="auto"/>
                    <w:left w:val="none" w:sz="0" w:space="0" w:color="auto"/>
                    <w:bottom w:val="none" w:sz="0" w:space="0" w:color="auto"/>
                    <w:right w:val="none" w:sz="0" w:space="0" w:color="auto"/>
                  </w:divBdr>
                  <w:divsChild>
                    <w:div w:id="1637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06895">
      <w:bodyDiv w:val="1"/>
      <w:marLeft w:val="0"/>
      <w:marRight w:val="0"/>
      <w:marTop w:val="0"/>
      <w:marBottom w:val="0"/>
      <w:divBdr>
        <w:top w:val="none" w:sz="0" w:space="0" w:color="auto"/>
        <w:left w:val="none" w:sz="0" w:space="0" w:color="auto"/>
        <w:bottom w:val="none" w:sz="0" w:space="0" w:color="auto"/>
        <w:right w:val="none" w:sz="0" w:space="0" w:color="auto"/>
      </w:divBdr>
      <w:divsChild>
        <w:div w:id="857350713">
          <w:marLeft w:val="0"/>
          <w:marRight w:val="0"/>
          <w:marTop w:val="0"/>
          <w:marBottom w:val="0"/>
          <w:divBdr>
            <w:top w:val="none" w:sz="0" w:space="0" w:color="auto"/>
            <w:left w:val="none" w:sz="0" w:space="0" w:color="auto"/>
            <w:bottom w:val="none" w:sz="0" w:space="0" w:color="auto"/>
            <w:right w:val="none" w:sz="0" w:space="0" w:color="auto"/>
          </w:divBdr>
          <w:divsChild>
            <w:div w:id="1969512362">
              <w:marLeft w:val="0"/>
              <w:marRight w:val="0"/>
              <w:marTop w:val="0"/>
              <w:marBottom w:val="0"/>
              <w:divBdr>
                <w:top w:val="none" w:sz="0" w:space="0" w:color="auto"/>
                <w:left w:val="none" w:sz="0" w:space="0" w:color="auto"/>
                <w:bottom w:val="none" w:sz="0" w:space="0" w:color="auto"/>
                <w:right w:val="none" w:sz="0" w:space="0" w:color="auto"/>
              </w:divBdr>
              <w:divsChild>
                <w:div w:id="6324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93893">
      <w:bodyDiv w:val="1"/>
      <w:marLeft w:val="0"/>
      <w:marRight w:val="0"/>
      <w:marTop w:val="0"/>
      <w:marBottom w:val="0"/>
      <w:divBdr>
        <w:top w:val="none" w:sz="0" w:space="0" w:color="auto"/>
        <w:left w:val="none" w:sz="0" w:space="0" w:color="auto"/>
        <w:bottom w:val="none" w:sz="0" w:space="0" w:color="auto"/>
        <w:right w:val="none" w:sz="0" w:space="0" w:color="auto"/>
      </w:divBdr>
      <w:divsChild>
        <w:div w:id="496773052">
          <w:marLeft w:val="0"/>
          <w:marRight w:val="0"/>
          <w:marTop w:val="0"/>
          <w:marBottom w:val="0"/>
          <w:divBdr>
            <w:top w:val="none" w:sz="0" w:space="0" w:color="auto"/>
            <w:left w:val="none" w:sz="0" w:space="0" w:color="auto"/>
            <w:bottom w:val="none" w:sz="0" w:space="0" w:color="auto"/>
            <w:right w:val="none" w:sz="0" w:space="0" w:color="auto"/>
          </w:divBdr>
          <w:divsChild>
            <w:div w:id="441270374">
              <w:marLeft w:val="0"/>
              <w:marRight w:val="0"/>
              <w:marTop w:val="0"/>
              <w:marBottom w:val="0"/>
              <w:divBdr>
                <w:top w:val="none" w:sz="0" w:space="0" w:color="auto"/>
                <w:left w:val="none" w:sz="0" w:space="0" w:color="auto"/>
                <w:bottom w:val="none" w:sz="0" w:space="0" w:color="auto"/>
                <w:right w:val="none" w:sz="0" w:space="0" w:color="auto"/>
              </w:divBdr>
              <w:divsChild>
                <w:div w:id="2118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21174">
      <w:bodyDiv w:val="1"/>
      <w:marLeft w:val="0"/>
      <w:marRight w:val="0"/>
      <w:marTop w:val="0"/>
      <w:marBottom w:val="0"/>
      <w:divBdr>
        <w:top w:val="none" w:sz="0" w:space="0" w:color="auto"/>
        <w:left w:val="none" w:sz="0" w:space="0" w:color="auto"/>
        <w:bottom w:val="none" w:sz="0" w:space="0" w:color="auto"/>
        <w:right w:val="none" w:sz="0" w:space="0" w:color="auto"/>
      </w:divBdr>
      <w:divsChild>
        <w:div w:id="458497512">
          <w:marLeft w:val="0"/>
          <w:marRight w:val="0"/>
          <w:marTop w:val="0"/>
          <w:marBottom w:val="0"/>
          <w:divBdr>
            <w:top w:val="none" w:sz="0" w:space="0" w:color="auto"/>
            <w:left w:val="none" w:sz="0" w:space="0" w:color="auto"/>
            <w:bottom w:val="none" w:sz="0" w:space="0" w:color="auto"/>
            <w:right w:val="none" w:sz="0" w:space="0" w:color="auto"/>
          </w:divBdr>
          <w:divsChild>
            <w:div w:id="23991708">
              <w:marLeft w:val="0"/>
              <w:marRight w:val="0"/>
              <w:marTop w:val="0"/>
              <w:marBottom w:val="0"/>
              <w:divBdr>
                <w:top w:val="none" w:sz="0" w:space="0" w:color="auto"/>
                <w:left w:val="none" w:sz="0" w:space="0" w:color="auto"/>
                <w:bottom w:val="none" w:sz="0" w:space="0" w:color="auto"/>
                <w:right w:val="none" w:sz="0" w:space="0" w:color="auto"/>
              </w:divBdr>
              <w:divsChild>
                <w:div w:id="383263556">
                  <w:marLeft w:val="0"/>
                  <w:marRight w:val="0"/>
                  <w:marTop w:val="0"/>
                  <w:marBottom w:val="0"/>
                  <w:divBdr>
                    <w:top w:val="none" w:sz="0" w:space="0" w:color="auto"/>
                    <w:left w:val="none" w:sz="0" w:space="0" w:color="auto"/>
                    <w:bottom w:val="none" w:sz="0" w:space="0" w:color="auto"/>
                    <w:right w:val="none" w:sz="0" w:space="0" w:color="auto"/>
                  </w:divBdr>
                  <w:divsChild>
                    <w:div w:id="15204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073858">
      <w:bodyDiv w:val="1"/>
      <w:marLeft w:val="0"/>
      <w:marRight w:val="0"/>
      <w:marTop w:val="0"/>
      <w:marBottom w:val="0"/>
      <w:divBdr>
        <w:top w:val="none" w:sz="0" w:space="0" w:color="auto"/>
        <w:left w:val="none" w:sz="0" w:space="0" w:color="auto"/>
        <w:bottom w:val="none" w:sz="0" w:space="0" w:color="auto"/>
        <w:right w:val="none" w:sz="0" w:space="0" w:color="auto"/>
      </w:divBdr>
      <w:divsChild>
        <w:div w:id="2098670698">
          <w:marLeft w:val="0"/>
          <w:marRight w:val="0"/>
          <w:marTop w:val="0"/>
          <w:marBottom w:val="0"/>
          <w:divBdr>
            <w:top w:val="none" w:sz="0" w:space="0" w:color="auto"/>
            <w:left w:val="none" w:sz="0" w:space="0" w:color="auto"/>
            <w:bottom w:val="none" w:sz="0" w:space="0" w:color="auto"/>
            <w:right w:val="none" w:sz="0" w:space="0" w:color="auto"/>
          </w:divBdr>
          <w:divsChild>
            <w:div w:id="1957518145">
              <w:marLeft w:val="0"/>
              <w:marRight w:val="0"/>
              <w:marTop w:val="0"/>
              <w:marBottom w:val="0"/>
              <w:divBdr>
                <w:top w:val="none" w:sz="0" w:space="0" w:color="auto"/>
                <w:left w:val="none" w:sz="0" w:space="0" w:color="auto"/>
                <w:bottom w:val="none" w:sz="0" w:space="0" w:color="auto"/>
                <w:right w:val="none" w:sz="0" w:space="0" w:color="auto"/>
              </w:divBdr>
              <w:divsChild>
                <w:div w:id="705370350">
                  <w:marLeft w:val="0"/>
                  <w:marRight w:val="0"/>
                  <w:marTop w:val="0"/>
                  <w:marBottom w:val="0"/>
                  <w:divBdr>
                    <w:top w:val="none" w:sz="0" w:space="0" w:color="auto"/>
                    <w:left w:val="none" w:sz="0" w:space="0" w:color="auto"/>
                    <w:bottom w:val="none" w:sz="0" w:space="0" w:color="auto"/>
                    <w:right w:val="none" w:sz="0" w:space="0" w:color="auto"/>
                  </w:divBdr>
                  <w:divsChild>
                    <w:div w:id="2889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294290">
      <w:bodyDiv w:val="1"/>
      <w:marLeft w:val="0"/>
      <w:marRight w:val="0"/>
      <w:marTop w:val="0"/>
      <w:marBottom w:val="0"/>
      <w:divBdr>
        <w:top w:val="none" w:sz="0" w:space="0" w:color="auto"/>
        <w:left w:val="none" w:sz="0" w:space="0" w:color="auto"/>
        <w:bottom w:val="none" w:sz="0" w:space="0" w:color="auto"/>
        <w:right w:val="none" w:sz="0" w:space="0" w:color="auto"/>
      </w:divBdr>
      <w:divsChild>
        <w:div w:id="275867291">
          <w:marLeft w:val="0"/>
          <w:marRight w:val="0"/>
          <w:marTop w:val="0"/>
          <w:marBottom w:val="0"/>
          <w:divBdr>
            <w:top w:val="none" w:sz="0" w:space="0" w:color="auto"/>
            <w:left w:val="none" w:sz="0" w:space="0" w:color="auto"/>
            <w:bottom w:val="none" w:sz="0" w:space="0" w:color="auto"/>
            <w:right w:val="none" w:sz="0" w:space="0" w:color="auto"/>
          </w:divBdr>
          <w:divsChild>
            <w:div w:id="1343628688">
              <w:marLeft w:val="0"/>
              <w:marRight w:val="0"/>
              <w:marTop w:val="0"/>
              <w:marBottom w:val="0"/>
              <w:divBdr>
                <w:top w:val="none" w:sz="0" w:space="0" w:color="auto"/>
                <w:left w:val="none" w:sz="0" w:space="0" w:color="auto"/>
                <w:bottom w:val="none" w:sz="0" w:space="0" w:color="auto"/>
                <w:right w:val="none" w:sz="0" w:space="0" w:color="auto"/>
              </w:divBdr>
              <w:divsChild>
                <w:div w:id="20926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96155">
      <w:bodyDiv w:val="1"/>
      <w:marLeft w:val="0"/>
      <w:marRight w:val="0"/>
      <w:marTop w:val="0"/>
      <w:marBottom w:val="0"/>
      <w:divBdr>
        <w:top w:val="none" w:sz="0" w:space="0" w:color="auto"/>
        <w:left w:val="none" w:sz="0" w:space="0" w:color="auto"/>
        <w:bottom w:val="none" w:sz="0" w:space="0" w:color="auto"/>
        <w:right w:val="none" w:sz="0" w:space="0" w:color="auto"/>
      </w:divBdr>
    </w:div>
    <w:div w:id="1813402230">
      <w:bodyDiv w:val="1"/>
      <w:marLeft w:val="0"/>
      <w:marRight w:val="0"/>
      <w:marTop w:val="0"/>
      <w:marBottom w:val="0"/>
      <w:divBdr>
        <w:top w:val="none" w:sz="0" w:space="0" w:color="auto"/>
        <w:left w:val="none" w:sz="0" w:space="0" w:color="auto"/>
        <w:bottom w:val="none" w:sz="0" w:space="0" w:color="auto"/>
        <w:right w:val="none" w:sz="0" w:space="0" w:color="auto"/>
      </w:divBdr>
      <w:divsChild>
        <w:div w:id="1314867104">
          <w:marLeft w:val="0"/>
          <w:marRight w:val="0"/>
          <w:marTop w:val="0"/>
          <w:marBottom w:val="0"/>
          <w:divBdr>
            <w:top w:val="none" w:sz="0" w:space="0" w:color="auto"/>
            <w:left w:val="none" w:sz="0" w:space="0" w:color="auto"/>
            <w:bottom w:val="none" w:sz="0" w:space="0" w:color="auto"/>
            <w:right w:val="none" w:sz="0" w:space="0" w:color="auto"/>
          </w:divBdr>
          <w:divsChild>
            <w:div w:id="912273226">
              <w:marLeft w:val="0"/>
              <w:marRight w:val="0"/>
              <w:marTop w:val="0"/>
              <w:marBottom w:val="0"/>
              <w:divBdr>
                <w:top w:val="none" w:sz="0" w:space="0" w:color="auto"/>
                <w:left w:val="none" w:sz="0" w:space="0" w:color="auto"/>
                <w:bottom w:val="none" w:sz="0" w:space="0" w:color="auto"/>
                <w:right w:val="none" w:sz="0" w:space="0" w:color="auto"/>
              </w:divBdr>
              <w:divsChild>
                <w:div w:id="780144379">
                  <w:marLeft w:val="0"/>
                  <w:marRight w:val="0"/>
                  <w:marTop w:val="0"/>
                  <w:marBottom w:val="0"/>
                  <w:divBdr>
                    <w:top w:val="none" w:sz="0" w:space="0" w:color="auto"/>
                    <w:left w:val="none" w:sz="0" w:space="0" w:color="auto"/>
                    <w:bottom w:val="none" w:sz="0" w:space="0" w:color="auto"/>
                    <w:right w:val="none" w:sz="0" w:space="0" w:color="auto"/>
                  </w:divBdr>
                  <w:divsChild>
                    <w:div w:id="8336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84680">
      <w:bodyDiv w:val="1"/>
      <w:marLeft w:val="0"/>
      <w:marRight w:val="0"/>
      <w:marTop w:val="0"/>
      <w:marBottom w:val="0"/>
      <w:divBdr>
        <w:top w:val="none" w:sz="0" w:space="0" w:color="auto"/>
        <w:left w:val="none" w:sz="0" w:space="0" w:color="auto"/>
        <w:bottom w:val="none" w:sz="0" w:space="0" w:color="auto"/>
        <w:right w:val="none" w:sz="0" w:space="0" w:color="auto"/>
      </w:divBdr>
      <w:divsChild>
        <w:div w:id="120729020">
          <w:marLeft w:val="187"/>
          <w:marRight w:val="0"/>
          <w:marTop w:val="0"/>
          <w:marBottom w:val="0"/>
          <w:divBdr>
            <w:top w:val="none" w:sz="0" w:space="0" w:color="auto"/>
            <w:left w:val="none" w:sz="0" w:space="0" w:color="auto"/>
            <w:bottom w:val="none" w:sz="0" w:space="0" w:color="auto"/>
            <w:right w:val="none" w:sz="0" w:space="0" w:color="auto"/>
          </w:divBdr>
        </w:div>
        <w:div w:id="427123225">
          <w:marLeft w:val="187"/>
          <w:marRight w:val="0"/>
          <w:marTop w:val="0"/>
          <w:marBottom w:val="0"/>
          <w:divBdr>
            <w:top w:val="none" w:sz="0" w:space="0" w:color="auto"/>
            <w:left w:val="none" w:sz="0" w:space="0" w:color="auto"/>
            <w:bottom w:val="none" w:sz="0" w:space="0" w:color="auto"/>
            <w:right w:val="none" w:sz="0" w:space="0" w:color="auto"/>
          </w:divBdr>
        </w:div>
        <w:div w:id="1478641340">
          <w:marLeft w:val="187"/>
          <w:marRight w:val="0"/>
          <w:marTop w:val="0"/>
          <w:marBottom w:val="0"/>
          <w:divBdr>
            <w:top w:val="none" w:sz="0" w:space="0" w:color="auto"/>
            <w:left w:val="none" w:sz="0" w:space="0" w:color="auto"/>
            <w:bottom w:val="none" w:sz="0" w:space="0" w:color="auto"/>
            <w:right w:val="none" w:sz="0" w:space="0" w:color="auto"/>
          </w:divBdr>
        </w:div>
      </w:divsChild>
    </w:div>
    <w:div w:id="1820536942">
      <w:bodyDiv w:val="1"/>
      <w:marLeft w:val="0"/>
      <w:marRight w:val="0"/>
      <w:marTop w:val="0"/>
      <w:marBottom w:val="0"/>
      <w:divBdr>
        <w:top w:val="none" w:sz="0" w:space="0" w:color="auto"/>
        <w:left w:val="none" w:sz="0" w:space="0" w:color="auto"/>
        <w:bottom w:val="none" w:sz="0" w:space="0" w:color="auto"/>
        <w:right w:val="none" w:sz="0" w:space="0" w:color="auto"/>
      </w:divBdr>
    </w:div>
    <w:div w:id="1841389574">
      <w:bodyDiv w:val="1"/>
      <w:marLeft w:val="0"/>
      <w:marRight w:val="0"/>
      <w:marTop w:val="0"/>
      <w:marBottom w:val="0"/>
      <w:divBdr>
        <w:top w:val="none" w:sz="0" w:space="0" w:color="auto"/>
        <w:left w:val="none" w:sz="0" w:space="0" w:color="auto"/>
        <w:bottom w:val="none" w:sz="0" w:space="0" w:color="auto"/>
        <w:right w:val="none" w:sz="0" w:space="0" w:color="auto"/>
      </w:divBdr>
      <w:divsChild>
        <w:div w:id="740758175">
          <w:marLeft w:val="0"/>
          <w:marRight w:val="0"/>
          <w:marTop w:val="0"/>
          <w:marBottom w:val="0"/>
          <w:divBdr>
            <w:top w:val="none" w:sz="0" w:space="0" w:color="auto"/>
            <w:left w:val="none" w:sz="0" w:space="0" w:color="auto"/>
            <w:bottom w:val="none" w:sz="0" w:space="0" w:color="auto"/>
            <w:right w:val="none" w:sz="0" w:space="0" w:color="auto"/>
          </w:divBdr>
          <w:divsChild>
            <w:div w:id="204829425">
              <w:marLeft w:val="0"/>
              <w:marRight w:val="0"/>
              <w:marTop w:val="0"/>
              <w:marBottom w:val="0"/>
              <w:divBdr>
                <w:top w:val="none" w:sz="0" w:space="0" w:color="auto"/>
                <w:left w:val="none" w:sz="0" w:space="0" w:color="auto"/>
                <w:bottom w:val="none" w:sz="0" w:space="0" w:color="auto"/>
                <w:right w:val="none" w:sz="0" w:space="0" w:color="auto"/>
              </w:divBdr>
              <w:divsChild>
                <w:div w:id="1715083983">
                  <w:marLeft w:val="0"/>
                  <w:marRight w:val="0"/>
                  <w:marTop w:val="0"/>
                  <w:marBottom w:val="0"/>
                  <w:divBdr>
                    <w:top w:val="none" w:sz="0" w:space="0" w:color="auto"/>
                    <w:left w:val="none" w:sz="0" w:space="0" w:color="auto"/>
                    <w:bottom w:val="none" w:sz="0" w:space="0" w:color="auto"/>
                    <w:right w:val="none" w:sz="0" w:space="0" w:color="auto"/>
                  </w:divBdr>
                  <w:divsChild>
                    <w:div w:id="8425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82750">
      <w:bodyDiv w:val="1"/>
      <w:marLeft w:val="0"/>
      <w:marRight w:val="0"/>
      <w:marTop w:val="0"/>
      <w:marBottom w:val="0"/>
      <w:divBdr>
        <w:top w:val="none" w:sz="0" w:space="0" w:color="auto"/>
        <w:left w:val="none" w:sz="0" w:space="0" w:color="auto"/>
        <w:bottom w:val="none" w:sz="0" w:space="0" w:color="auto"/>
        <w:right w:val="none" w:sz="0" w:space="0" w:color="auto"/>
      </w:divBdr>
    </w:div>
    <w:div w:id="1921131198">
      <w:bodyDiv w:val="1"/>
      <w:marLeft w:val="0"/>
      <w:marRight w:val="0"/>
      <w:marTop w:val="0"/>
      <w:marBottom w:val="0"/>
      <w:divBdr>
        <w:top w:val="none" w:sz="0" w:space="0" w:color="auto"/>
        <w:left w:val="none" w:sz="0" w:space="0" w:color="auto"/>
        <w:bottom w:val="none" w:sz="0" w:space="0" w:color="auto"/>
        <w:right w:val="none" w:sz="0" w:space="0" w:color="auto"/>
      </w:divBdr>
      <w:divsChild>
        <w:div w:id="299380812">
          <w:marLeft w:val="0"/>
          <w:marRight w:val="0"/>
          <w:marTop w:val="0"/>
          <w:marBottom w:val="0"/>
          <w:divBdr>
            <w:top w:val="none" w:sz="0" w:space="0" w:color="auto"/>
            <w:left w:val="none" w:sz="0" w:space="0" w:color="auto"/>
            <w:bottom w:val="none" w:sz="0" w:space="0" w:color="auto"/>
            <w:right w:val="none" w:sz="0" w:space="0" w:color="auto"/>
          </w:divBdr>
          <w:divsChild>
            <w:div w:id="49499949">
              <w:marLeft w:val="0"/>
              <w:marRight w:val="0"/>
              <w:marTop w:val="0"/>
              <w:marBottom w:val="0"/>
              <w:divBdr>
                <w:top w:val="none" w:sz="0" w:space="0" w:color="auto"/>
                <w:left w:val="none" w:sz="0" w:space="0" w:color="auto"/>
                <w:bottom w:val="none" w:sz="0" w:space="0" w:color="auto"/>
                <w:right w:val="none" w:sz="0" w:space="0" w:color="auto"/>
              </w:divBdr>
              <w:divsChild>
                <w:div w:id="153033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8747">
      <w:bodyDiv w:val="1"/>
      <w:marLeft w:val="0"/>
      <w:marRight w:val="0"/>
      <w:marTop w:val="0"/>
      <w:marBottom w:val="0"/>
      <w:divBdr>
        <w:top w:val="none" w:sz="0" w:space="0" w:color="auto"/>
        <w:left w:val="none" w:sz="0" w:space="0" w:color="auto"/>
        <w:bottom w:val="none" w:sz="0" w:space="0" w:color="auto"/>
        <w:right w:val="none" w:sz="0" w:space="0" w:color="auto"/>
      </w:divBdr>
      <w:divsChild>
        <w:div w:id="191118617">
          <w:marLeft w:val="0"/>
          <w:marRight w:val="0"/>
          <w:marTop w:val="0"/>
          <w:marBottom w:val="0"/>
          <w:divBdr>
            <w:top w:val="none" w:sz="0" w:space="0" w:color="auto"/>
            <w:left w:val="none" w:sz="0" w:space="0" w:color="auto"/>
            <w:bottom w:val="none" w:sz="0" w:space="0" w:color="auto"/>
            <w:right w:val="none" w:sz="0" w:space="0" w:color="auto"/>
          </w:divBdr>
          <w:divsChild>
            <w:div w:id="1295519635">
              <w:marLeft w:val="0"/>
              <w:marRight w:val="0"/>
              <w:marTop w:val="0"/>
              <w:marBottom w:val="0"/>
              <w:divBdr>
                <w:top w:val="none" w:sz="0" w:space="0" w:color="auto"/>
                <w:left w:val="none" w:sz="0" w:space="0" w:color="auto"/>
                <w:bottom w:val="none" w:sz="0" w:space="0" w:color="auto"/>
                <w:right w:val="none" w:sz="0" w:space="0" w:color="auto"/>
              </w:divBdr>
              <w:divsChild>
                <w:div w:id="115560822">
                  <w:marLeft w:val="0"/>
                  <w:marRight w:val="0"/>
                  <w:marTop w:val="0"/>
                  <w:marBottom w:val="0"/>
                  <w:divBdr>
                    <w:top w:val="none" w:sz="0" w:space="0" w:color="auto"/>
                    <w:left w:val="none" w:sz="0" w:space="0" w:color="auto"/>
                    <w:bottom w:val="none" w:sz="0" w:space="0" w:color="auto"/>
                    <w:right w:val="none" w:sz="0" w:space="0" w:color="auto"/>
                  </w:divBdr>
                  <w:divsChild>
                    <w:div w:id="145359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245427">
      <w:bodyDiv w:val="1"/>
      <w:marLeft w:val="0"/>
      <w:marRight w:val="0"/>
      <w:marTop w:val="0"/>
      <w:marBottom w:val="0"/>
      <w:divBdr>
        <w:top w:val="none" w:sz="0" w:space="0" w:color="auto"/>
        <w:left w:val="none" w:sz="0" w:space="0" w:color="auto"/>
        <w:bottom w:val="none" w:sz="0" w:space="0" w:color="auto"/>
        <w:right w:val="none" w:sz="0" w:space="0" w:color="auto"/>
      </w:divBdr>
    </w:div>
    <w:div w:id="2008513941">
      <w:bodyDiv w:val="1"/>
      <w:marLeft w:val="0"/>
      <w:marRight w:val="0"/>
      <w:marTop w:val="0"/>
      <w:marBottom w:val="0"/>
      <w:divBdr>
        <w:top w:val="none" w:sz="0" w:space="0" w:color="auto"/>
        <w:left w:val="none" w:sz="0" w:space="0" w:color="auto"/>
        <w:bottom w:val="none" w:sz="0" w:space="0" w:color="auto"/>
        <w:right w:val="none" w:sz="0" w:space="0" w:color="auto"/>
      </w:divBdr>
    </w:div>
    <w:div w:id="2058695870">
      <w:bodyDiv w:val="1"/>
      <w:marLeft w:val="0"/>
      <w:marRight w:val="0"/>
      <w:marTop w:val="0"/>
      <w:marBottom w:val="0"/>
      <w:divBdr>
        <w:top w:val="none" w:sz="0" w:space="0" w:color="auto"/>
        <w:left w:val="none" w:sz="0" w:space="0" w:color="auto"/>
        <w:bottom w:val="none" w:sz="0" w:space="0" w:color="auto"/>
        <w:right w:val="none" w:sz="0" w:space="0" w:color="auto"/>
      </w:divBdr>
      <w:divsChild>
        <w:div w:id="2048947465">
          <w:marLeft w:val="0"/>
          <w:marRight w:val="0"/>
          <w:marTop w:val="0"/>
          <w:marBottom w:val="0"/>
          <w:divBdr>
            <w:top w:val="none" w:sz="0" w:space="0" w:color="auto"/>
            <w:left w:val="none" w:sz="0" w:space="0" w:color="auto"/>
            <w:bottom w:val="none" w:sz="0" w:space="0" w:color="auto"/>
            <w:right w:val="none" w:sz="0" w:space="0" w:color="auto"/>
          </w:divBdr>
          <w:divsChild>
            <w:div w:id="55208233">
              <w:marLeft w:val="0"/>
              <w:marRight w:val="0"/>
              <w:marTop w:val="0"/>
              <w:marBottom w:val="0"/>
              <w:divBdr>
                <w:top w:val="none" w:sz="0" w:space="0" w:color="auto"/>
                <w:left w:val="none" w:sz="0" w:space="0" w:color="auto"/>
                <w:bottom w:val="none" w:sz="0" w:space="0" w:color="auto"/>
                <w:right w:val="none" w:sz="0" w:space="0" w:color="auto"/>
              </w:divBdr>
              <w:divsChild>
                <w:div w:id="632833996">
                  <w:marLeft w:val="0"/>
                  <w:marRight w:val="0"/>
                  <w:marTop w:val="0"/>
                  <w:marBottom w:val="0"/>
                  <w:divBdr>
                    <w:top w:val="none" w:sz="0" w:space="0" w:color="auto"/>
                    <w:left w:val="none" w:sz="0" w:space="0" w:color="auto"/>
                    <w:bottom w:val="none" w:sz="0" w:space="0" w:color="auto"/>
                    <w:right w:val="none" w:sz="0" w:space="0" w:color="auto"/>
                  </w:divBdr>
                  <w:divsChild>
                    <w:div w:id="20602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516478">
      <w:bodyDiv w:val="1"/>
      <w:marLeft w:val="0"/>
      <w:marRight w:val="0"/>
      <w:marTop w:val="0"/>
      <w:marBottom w:val="0"/>
      <w:divBdr>
        <w:top w:val="none" w:sz="0" w:space="0" w:color="auto"/>
        <w:left w:val="none" w:sz="0" w:space="0" w:color="auto"/>
        <w:bottom w:val="none" w:sz="0" w:space="0" w:color="auto"/>
        <w:right w:val="none" w:sz="0" w:space="0" w:color="auto"/>
      </w:divBdr>
      <w:divsChild>
        <w:div w:id="1659647236">
          <w:marLeft w:val="0"/>
          <w:marRight w:val="0"/>
          <w:marTop w:val="0"/>
          <w:marBottom w:val="0"/>
          <w:divBdr>
            <w:top w:val="none" w:sz="0" w:space="0" w:color="auto"/>
            <w:left w:val="none" w:sz="0" w:space="0" w:color="auto"/>
            <w:bottom w:val="none" w:sz="0" w:space="0" w:color="auto"/>
            <w:right w:val="none" w:sz="0" w:space="0" w:color="auto"/>
          </w:divBdr>
          <w:divsChild>
            <w:div w:id="1265840391">
              <w:marLeft w:val="0"/>
              <w:marRight w:val="0"/>
              <w:marTop w:val="0"/>
              <w:marBottom w:val="0"/>
              <w:divBdr>
                <w:top w:val="none" w:sz="0" w:space="0" w:color="auto"/>
                <w:left w:val="none" w:sz="0" w:space="0" w:color="auto"/>
                <w:bottom w:val="none" w:sz="0" w:space="0" w:color="auto"/>
                <w:right w:val="none" w:sz="0" w:space="0" w:color="auto"/>
              </w:divBdr>
              <w:divsChild>
                <w:div w:id="771556144">
                  <w:marLeft w:val="0"/>
                  <w:marRight w:val="0"/>
                  <w:marTop w:val="0"/>
                  <w:marBottom w:val="0"/>
                  <w:divBdr>
                    <w:top w:val="none" w:sz="0" w:space="0" w:color="auto"/>
                    <w:left w:val="none" w:sz="0" w:space="0" w:color="auto"/>
                    <w:bottom w:val="none" w:sz="0" w:space="0" w:color="auto"/>
                    <w:right w:val="none" w:sz="0" w:space="0" w:color="auto"/>
                  </w:divBdr>
                  <w:divsChild>
                    <w:div w:id="16631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024034">
      <w:bodyDiv w:val="1"/>
      <w:marLeft w:val="0"/>
      <w:marRight w:val="0"/>
      <w:marTop w:val="0"/>
      <w:marBottom w:val="0"/>
      <w:divBdr>
        <w:top w:val="none" w:sz="0" w:space="0" w:color="auto"/>
        <w:left w:val="none" w:sz="0" w:space="0" w:color="auto"/>
        <w:bottom w:val="none" w:sz="0" w:space="0" w:color="auto"/>
        <w:right w:val="none" w:sz="0" w:space="0" w:color="auto"/>
      </w:divBdr>
      <w:divsChild>
        <w:div w:id="264383591">
          <w:marLeft w:val="0"/>
          <w:marRight w:val="0"/>
          <w:marTop w:val="0"/>
          <w:marBottom w:val="0"/>
          <w:divBdr>
            <w:top w:val="none" w:sz="0" w:space="0" w:color="auto"/>
            <w:left w:val="none" w:sz="0" w:space="0" w:color="auto"/>
            <w:bottom w:val="none" w:sz="0" w:space="0" w:color="auto"/>
            <w:right w:val="none" w:sz="0" w:space="0" w:color="auto"/>
          </w:divBdr>
          <w:divsChild>
            <w:div w:id="805199472">
              <w:marLeft w:val="0"/>
              <w:marRight w:val="0"/>
              <w:marTop w:val="0"/>
              <w:marBottom w:val="0"/>
              <w:divBdr>
                <w:top w:val="none" w:sz="0" w:space="0" w:color="auto"/>
                <w:left w:val="none" w:sz="0" w:space="0" w:color="auto"/>
                <w:bottom w:val="none" w:sz="0" w:space="0" w:color="auto"/>
                <w:right w:val="none" w:sz="0" w:space="0" w:color="auto"/>
              </w:divBdr>
              <w:divsChild>
                <w:div w:id="65557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20602">
      <w:bodyDiv w:val="1"/>
      <w:marLeft w:val="0"/>
      <w:marRight w:val="0"/>
      <w:marTop w:val="0"/>
      <w:marBottom w:val="0"/>
      <w:divBdr>
        <w:top w:val="none" w:sz="0" w:space="0" w:color="auto"/>
        <w:left w:val="none" w:sz="0" w:space="0" w:color="auto"/>
        <w:bottom w:val="none" w:sz="0" w:space="0" w:color="auto"/>
        <w:right w:val="none" w:sz="0" w:space="0" w:color="auto"/>
      </w:divBdr>
      <w:divsChild>
        <w:div w:id="1494486624">
          <w:marLeft w:val="0"/>
          <w:marRight w:val="0"/>
          <w:marTop w:val="0"/>
          <w:marBottom w:val="0"/>
          <w:divBdr>
            <w:top w:val="none" w:sz="0" w:space="0" w:color="auto"/>
            <w:left w:val="none" w:sz="0" w:space="0" w:color="auto"/>
            <w:bottom w:val="none" w:sz="0" w:space="0" w:color="auto"/>
            <w:right w:val="none" w:sz="0" w:space="0" w:color="auto"/>
          </w:divBdr>
          <w:divsChild>
            <w:div w:id="1828473190">
              <w:marLeft w:val="0"/>
              <w:marRight w:val="0"/>
              <w:marTop w:val="0"/>
              <w:marBottom w:val="0"/>
              <w:divBdr>
                <w:top w:val="none" w:sz="0" w:space="0" w:color="auto"/>
                <w:left w:val="none" w:sz="0" w:space="0" w:color="auto"/>
                <w:bottom w:val="none" w:sz="0" w:space="0" w:color="auto"/>
                <w:right w:val="none" w:sz="0" w:space="0" w:color="auto"/>
              </w:divBdr>
              <w:divsChild>
                <w:div w:id="395127156">
                  <w:marLeft w:val="0"/>
                  <w:marRight w:val="0"/>
                  <w:marTop w:val="0"/>
                  <w:marBottom w:val="0"/>
                  <w:divBdr>
                    <w:top w:val="none" w:sz="0" w:space="0" w:color="auto"/>
                    <w:left w:val="none" w:sz="0" w:space="0" w:color="auto"/>
                    <w:bottom w:val="none" w:sz="0" w:space="0" w:color="auto"/>
                    <w:right w:val="none" w:sz="0" w:space="0" w:color="auto"/>
                  </w:divBdr>
                  <w:divsChild>
                    <w:div w:id="10466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4.tiff"/><Relationship Id="rId26" Type="http://schemas.openxmlformats.org/officeDocument/2006/relationships/hyperlink" Target="http://library.bsl.org.au/jspui/bitstream/1/10896/4/ACOSS_BSL_Energy_stressed_in_Australia_Oct2018.pdf" TargetMode="External"/><Relationship Id="rId21" Type="http://schemas.openxmlformats.org/officeDocument/2006/relationships/footer" Target="footer2.xml"/><Relationship Id="rId34" Type="http://schemas.openxmlformats.org/officeDocument/2006/relationships/hyperlink" Target="https://www.aer.gov.au/system/files/EUAA%20-Presentation%20%20-%20Predetermination%20conference%20-%20Victorian%20Electricity%20Distributor%20Determination%202021-26%20-%2015%20October%202020_3.pdf"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eader" Target="header3.xml"/><Relationship Id="rId25" Type="http://schemas.openxmlformats.org/officeDocument/2006/relationships/hyperlink" Target="https://www.acoss.org.au/media_release/covid-shines-light-on-failure-of-energy-system-for-people-experiencing-disadvantage/" TargetMode="External"/><Relationship Id="rId33" Type="http://schemas.openxmlformats.org/officeDocument/2006/relationships/hyperlink" Target="https://minister.infrastructure.gov.au/tudge/media-release/first-annual-population-statement-released-today"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hyperlink" Target="https://consumeraction.org.au/wp-content/uploads/2019/07/190620_Energy-Assistance-Report_FINAL_WEB.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footer" Target="footer4.xml"/><Relationship Id="rId32" Type="http://schemas.openxmlformats.org/officeDocument/2006/relationships/hyperlink" Target="http://library.bsl.org.au/jspui/bitstream/1/12354/1/BSL_COVID-19_Insights_Setbacks_at_30_LifeChances_Dec2020.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yperlink" Target="https://consumeraction.org.au/bills-here-bills-there-report-on-the-lived-experience-of-victorian-energy-reform/"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esc.vic.gov.au/media-centre/coronavirus-financial-hardship-continues-hit-victo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hyperlink" Target="https://www.acoss.org.au/wp-content/uploads/2019/07/190729-Survey-of-people-on-Newstart-and-Youth-%20Allowance.pdf" TargetMode="External"/><Relationship Id="rId30" Type="http://schemas.openxmlformats.org/officeDocument/2006/relationships/hyperlink" Target="https://www.aer.gov.au/system/files/D19-190817%20Economic%20Insights%20AER%20DNSP%20Benchmarking%20Report%20-%20October%202019.PDF" TargetMode="External"/><Relationship Id="rId35" Type="http://schemas.openxmlformats.org/officeDocument/2006/relationships/header" Target="header7.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library.bsl.org.au/jspui/bitstream/1/10896/4/ACOSS_BSL_Energy_stressed_in_Australia_Oct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EE7E7F7E7EF24498C2CDAFB66A434C" ma:contentTypeVersion="6" ma:contentTypeDescription="Create a new document." ma:contentTypeScope="" ma:versionID="ce10b1f7c3a96f940a558e795a9cb988">
  <xsd:schema xmlns:xsd="http://www.w3.org/2001/XMLSchema" xmlns:xs="http://www.w3.org/2001/XMLSchema" xmlns:p="http://schemas.microsoft.com/office/2006/metadata/properties" xmlns:ns2="39cd86c7-4b7b-4559-a92f-34b9d9f629cf" xmlns:ns3="5d1b5d9a-7a36-4a5f-94f5-2ec7b4e93842" targetNamespace="http://schemas.microsoft.com/office/2006/metadata/properties" ma:root="true" ma:fieldsID="859a5d9e7fd1a3fafb73ce3c1e21d310" ns2:_="" ns3:_="">
    <xsd:import namespace="39cd86c7-4b7b-4559-a92f-34b9d9f629cf"/>
    <xsd:import namespace="5d1b5d9a-7a36-4a5f-94f5-2ec7b4e938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d86c7-4b7b-4559-a92f-34b9d9f629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1b5d9a-7a36-4a5f-94f5-2ec7b4e938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380E2D-AE4D-C346-ABB7-46A651BC2620}">
  <ds:schemaRefs>
    <ds:schemaRef ds:uri="http://schemas.openxmlformats.org/officeDocument/2006/bibliography"/>
  </ds:schemaRefs>
</ds:datastoreItem>
</file>

<file path=customXml/itemProps2.xml><?xml version="1.0" encoding="utf-8"?>
<ds:datastoreItem xmlns:ds="http://schemas.openxmlformats.org/officeDocument/2006/customXml" ds:itemID="{E30743D6-6284-4C55-9DCE-3D03F849C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d86c7-4b7b-4559-a92f-34b9d9f629cf"/>
    <ds:schemaRef ds:uri="5d1b5d9a-7a36-4a5f-94f5-2ec7b4e93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EFE7DF-8759-4326-93B0-1C0AEE269A75}">
  <ds:schemaRefs>
    <ds:schemaRef ds:uri="http://schemas.microsoft.com/sharepoint/v3/contenttype/forms"/>
  </ds:schemaRefs>
</ds:datastoreItem>
</file>

<file path=customXml/itemProps4.xml><?xml version="1.0" encoding="utf-8"?>
<ds:datastoreItem xmlns:ds="http://schemas.openxmlformats.org/officeDocument/2006/customXml" ds:itemID="{AA2B6425-AFBA-4146-B710-EDA2579009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9460</Words>
  <Characters>53922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Brotherhood of St Laurence</Company>
  <LinksUpToDate>false</LinksUpToDate>
  <CharactersWithSpaces>63256</CharactersWithSpaces>
  <SharedDoc>false</SharedDoc>
  <HLinks>
    <vt:vector size="78" baseType="variant">
      <vt:variant>
        <vt:i4>1507382</vt:i4>
      </vt:variant>
      <vt:variant>
        <vt:i4>68</vt:i4>
      </vt:variant>
      <vt:variant>
        <vt:i4>0</vt:i4>
      </vt:variant>
      <vt:variant>
        <vt:i4>5</vt:i4>
      </vt:variant>
      <vt:variant>
        <vt:lpwstr/>
      </vt:variant>
      <vt:variant>
        <vt:lpwstr>_Toc41557703</vt:lpwstr>
      </vt:variant>
      <vt:variant>
        <vt:i4>1441846</vt:i4>
      </vt:variant>
      <vt:variant>
        <vt:i4>62</vt:i4>
      </vt:variant>
      <vt:variant>
        <vt:i4>0</vt:i4>
      </vt:variant>
      <vt:variant>
        <vt:i4>5</vt:i4>
      </vt:variant>
      <vt:variant>
        <vt:lpwstr/>
      </vt:variant>
      <vt:variant>
        <vt:lpwstr>_Toc41557702</vt:lpwstr>
      </vt:variant>
      <vt:variant>
        <vt:i4>1376310</vt:i4>
      </vt:variant>
      <vt:variant>
        <vt:i4>56</vt:i4>
      </vt:variant>
      <vt:variant>
        <vt:i4>0</vt:i4>
      </vt:variant>
      <vt:variant>
        <vt:i4>5</vt:i4>
      </vt:variant>
      <vt:variant>
        <vt:lpwstr/>
      </vt:variant>
      <vt:variant>
        <vt:lpwstr>_Toc41557701</vt:lpwstr>
      </vt:variant>
      <vt:variant>
        <vt:i4>1310774</vt:i4>
      </vt:variant>
      <vt:variant>
        <vt:i4>50</vt:i4>
      </vt:variant>
      <vt:variant>
        <vt:i4>0</vt:i4>
      </vt:variant>
      <vt:variant>
        <vt:i4>5</vt:i4>
      </vt:variant>
      <vt:variant>
        <vt:lpwstr/>
      </vt:variant>
      <vt:variant>
        <vt:lpwstr>_Toc41557700</vt:lpwstr>
      </vt:variant>
      <vt:variant>
        <vt:i4>1835071</vt:i4>
      </vt:variant>
      <vt:variant>
        <vt:i4>44</vt:i4>
      </vt:variant>
      <vt:variant>
        <vt:i4>0</vt:i4>
      </vt:variant>
      <vt:variant>
        <vt:i4>5</vt:i4>
      </vt:variant>
      <vt:variant>
        <vt:lpwstr/>
      </vt:variant>
      <vt:variant>
        <vt:lpwstr>_Toc41557699</vt:lpwstr>
      </vt:variant>
      <vt:variant>
        <vt:i4>1900607</vt:i4>
      </vt:variant>
      <vt:variant>
        <vt:i4>38</vt:i4>
      </vt:variant>
      <vt:variant>
        <vt:i4>0</vt:i4>
      </vt:variant>
      <vt:variant>
        <vt:i4>5</vt:i4>
      </vt:variant>
      <vt:variant>
        <vt:lpwstr/>
      </vt:variant>
      <vt:variant>
        <vt:lpwstr>_Toc41557698</vt:lpwstr>
      </vt:variant>
      <vt:variant>
        <vt:i4>1179711</vt:i4>
      </vt:variant>
      <vt:variant>
        <vt:i4>32</vt:i4>
      </vt:variant>
      <vt:variant>
        <vt:i4>0</vt:i4>
      </vt:variant>
      <vt:variant>
        <vt:i4>5</vt:i4>
      </vt:variant>
      <vt:variant>
        <vt:lpwstr/>
      </vt:variant>
      <vt:variant>
        <vt:lpwstr>_Toc41557697</vt:lpwstr>
      </vt:variant>
      <vt:variant>
        <vt:i4>1245247</vt:i4>
      </vt:variant>
      <vt:variant>
        <vt:i4>26</vt:i4>
      </vt:variant>
      <vt:variant>
        <vt:i4>0</vt:i4>
      </vt:variant>
      <vt:variant>
        <vt:i4>5</vt:i4>
      </vt:variant>
      <vt:variant>
        <vt:lpwstr/>
      </vt:variant>
      <vt:variant>
        <vt:lpwstr>_Toc41557696</vt:lpwstr>
      </vt:variant>
      <vt:variant>
        <vt:i4>1441855</vt:i4>
      </vt:variant>
      <vt:variant>
        <vt:i4>20</vt:i4>
      </vt:variant>
      <vt:variant>
        <vt:i4>0</vt:i4>
      </vt:variant>
      <vt:variant>
        <vt:i4>5</vt:i4>
      </vt:variant>
      <vt:variant>
        <vt:lpwstr/>
      </vt:variant>
      <vt:variant>
        <vt:lpwstr>_Toc41557693</vt:lpwstr>
      </vt:variant>
      <vt:variant>
        <vt:i4>1507391</vt:i4>
      </vt:variant>
      <vt:variant>
        <vt:i4>14</vt:i4>
      </vt:variant>
      <vt:variant>
        <vt:i4>0</vt:i4>
      </vt:variant>
      <vt:variant>
        <vt:i4>5</vt:i4>
      </vt:variant>
      <vt:variant>
        <vt:lpwstr/>
      </vt:variant>
      <vt:variant>
        <vt:lpwstr>_Toc41557692</vt:lpwstr>
      </vt:variant>
      <vt:variant>
        <vt:i4>1310783</vt:i4>
      </vt:variant>
      <vt:variant>
        <vt:i4>8</vt:i4>
      </vt:variant>
      <vt:variant>
        <vt:i4>0</vt:i4>
      </vt:variant>
      <vt:variant>
        <vt:i4>5</vt:i4>
      </vt:variant>
      <vt:variant>
        <vt:lpwstr/>
      </vt:variant>
      <vt:variant>
        <vt:lpwstr>_Toc41557691</vt:lpwstr>
      </vt:variant>
      <vt:variant>
        <vt:i4>1376319</vt:i4>
      </vt:variant>
      <vt:variant>
        <vt:i4>2</vt:i4>
      </vt:variant>
      <vt:variant>
        <vt:i4>0</vt:i4>
      </vt:variant>
      <vt:variant>
        <vt:i4>5</vt:i4>
      </vt:variant>
      <vt:variant>
        <vt:lpwstr/>
      </vt:variant>
      <vt:variant>
        <vt:lpwstr>_Toc41557690</vt:lpwstr>
      </vt:variant>
      <vt:variant>
        <vt:i4>1310750</vt:i4>
      </vt:variant>
      <vt:variant>
        <vt:i4>0</vt:i4>
      </vt:variant>
      <vt:variant>
        <vt:i4>0</vt:i4>
      </vt:variant>
      <vt:variant>
        <vt:i4>5</vt:i4>
      </vt:variant>
      <vt:variant>
        <vt:lpwstr>http://library.bsl.org.au/jspui/bitstream/1/10896/4/ACOSS_BSL_Energy_stressed_in_Australia_Oct2018.pdf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Chessell</dc:creator>
  <cp:keywords/>
  <dc:description/>
  <cp:lastModifiedBy>edwin Chess</cp:lastModifiedBy>
  <cp:revision>2</cp:revision>
  <cp:lastPrinted>2020-12-29T10:56:00Z</cp:lastPrinted>
  <dcterms:created xsi:type="dcterms:W3CDTF">2021-01-11T23:55:00Z</dcterms:created>
  <dcterms:modified xsi:type="dcterms:W3CDTF">2021-01-11T23:55:00Z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http://csl.mendeley.com/styles/400003081/BSL</vt:lpwstr>
  </property>
  <property fmtid="{D5CDD505-2E9C-101B-9397-08002B2CF9AE}" pid="7" name="Mendeley Recent Style Name 2_1">
    <vt:lpwstr>BSL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http://www.zotero.org/styles/style-manual-australian-government</vt:lpwstr>
  </property>
  <property fmtid="{D5CDD505-2E9C-101B-9397-08002B2CF9AE}" pid="21" name="Mendeley Recent Style Name 9_1">
    <vt:lpwstr>Style Manual - Australian Government (author-date)</vt:lpwstr>
  </property>
  <property fmtid="{D5CDD505-2E9C-101B-9397-08002B2CF9AE}" pid="22" name="ContentTypeId">
    <vt:lpwstr>0x01010033EE7E7F7E7EF24498C2CDAFB66A434C</vt:lpwstr>
  </property>
</Properties>
</file>